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0F091">
      <w:pPr>
        <w:adjustRightInd w:val="0"/>
        <w:snapToGrid w:val="0"/>
        <w:spacing w:line="600" w:lineRule="exact"/>
        <w:rPr>
          <w:rFonts w:ascii="仿宋" w:hAnsi="仿宋" w:eastAsia="仿宋"/>
          <w:b/>
          <w:sz w:val="32"/>
          <w:szCs w:val="32"/>
        </w:rPr>
      </w:pPr>
      <w:r>
        <w:rPr>
          <w:rFonts w:hint="eastAsia" w:ascii="仿宋" w:hAnsi="仿宋" w:eastAsia="仿宋"/>
          <w:b/>
          <w:sz w:val="32"/>
          <w:szCs w:val="32"/>
        </w:rPr>
        <w:t>附件：</w:t>
      </w:r>
    </w:p>
    <w:p w14:paraId="0B111C84">
      <w:pPr>
        <w:adjustRightInd w:val="0"/>
        <w:snapToGrid w:val="0"/>
        <w:spacing w:line="600" w:lineRule="exact"/>
        <w:jc w:val="center"/>
        <w:rPr>
          <w:rFonts w:ascii="仿宋" w:hAnsi="仿宋" w:eastAsia="仿宋"/>
          <w:b/>
          <w:bCs/>
          <w:spacing w:val="-6"/>
          <w:kern w:val="0"/>
          <w:sz w:val="32"/>
          <w:szCs w:val="32"/>
        </w:rPr>
      </w:pPr>
      <w:bookmarkStart w:id="0" w:name="_GoBack"/>
      <w:r>
        <w:rPr>
          <w:rFonts w:ascii="仿宋" w:hAnsi="仿宋" w:eastAsia="仿宋"/>
          <w:b/>
          <w:bCs/>
          <w:spacing w:val="-6"/>
          <w:kern w:val="0"/>
          <w:sz w:val="32"/>
          <w:szCs w:val="32"/>
        </w:rPr>
        <w:t>第十一届全国大学生医学创新大赛暨“一带一路”国际竞赛</w:t>
      </w:r>
    </w:p>
    <w:p w14:paraId="4286D71B">
      <w:pPr>
        <w:adjustRightInd w:val="0"/>
        <w:snapToGrid w:val="0"/>
        <w:spacing w:line="600" w:lineRule="exact"/>
        <w:jc w:val="center"/>
        <w:rPr>
          <w:rFonts w:ascii="仿宋" w:hAnsi="仿宋" w:eastAsia="仿宋"/>
          <w:b/>
          <w:bCs/>
          <w:spacing w:val="-6"/>
          <w:kern w:val="0"/>
          <w:sz w:val="32"/>
          <w:szCs w:val="32"/>
        </w:rPr>
      </w:pPr>
      <w:r>
        <w:rPr>
          <w:rFonts w:ascii="仿宋" w:hAnsi="仿宋" w:eastAsia="仿宋"/>
          <w:b/>
          <w:bCs/>
          <w:spacing w:val="-6"/>
          <w:kern w:val="0"/>
          <w:sz w:val="32"/>
          <w:szCs w:val="32"/>
        </w:rPr>
        <w:t>南昌大学校赛</w:t>
      </w:r>
      <w:r>
        <w:rPr>
          <w:rFonts w:hint="eastAsia" w:ascii="仿宋" w:hAnsi="仿宋" w:eastAsia="仿宋"/>
          <w:b/>
          <w:sz w:val="32"/>
          <w:szCs w:val="32"/>
        </w:rPr>
        <w:t>各赛道晋级及获奖名单</w:t>
      </w:r>
    </w:p>
    <w:bookmarkEnd w:id="0"/>
    <w:tbl>
      <w:tblPr>
        <w:tblStyle w:val="6"/>
        <w:tblW w:w="5253" w:type="pct"/>
        <w:tblInd w:w="0" w:type="dxa"/>
        <w:tblLayout w:type="fixed"/>
        <w:tblCellMar>
          <w:top w:w="0" w:type="dxa"/>
          <w:left w:w="108" w:type="dxa"/>
          <w:bottom w:w="0" w:type="dxa"/>
          <w:right w:w="108" w:type="dxa"/>
        </w:tblCellMar>
      </w:tblPr>
      <w:tblGrid>
        <w:gridCol w:w="6"/>
        <w:gridCol w:w="3194"/>
        <w:gridCol w:w="21"/>
        <w:gridCol w:w="1182"/>
        <w:gridCol w:w="16"/>
        <w:gridCol w:w="2663"/>
        <w:gridCol w:w="32"/>
        <w:gridCol w:w="1529"/>
        <w:gridCol w:w="16"/>
        <w:gridCol w:w="1022"/>
        <w:gridCol w:w="207"/>
        <w:gridCol w:w="13"/>
      </w:tblGrid>
      <w:tr w14:paraId="3A83D94B">
        <w:tblPrEx>
          <w:tblCellMar>
            <w:top w:w="0" w:type="dxa"/>
            <w:left w:w="108" w:type="dxa"/>
            <w:bottom w:w="0" w:type="dxa"/>
            <w:right w:w="108" w:type="dxa"/>
          </w:tblCellMar>
        </w:tblPrEx>
        <w:trPr>
          <w:trHeight w:val="600" w:hRule="atLeast"/>
        </w:trPr>
        <w:tc>
          <w:tcPr>
            <w:tcW w:w="5000" w:type="pct"/>
            <w:gridSpan w:val="12"/>
            <w:tcBorders>
              <w:top w:val="nil"/>
              <w:left w:val="nil"/>
              <w:bottom w:val="nil"/>
              <w:right w:val="nil"/>
            </w:tcBorders>
            <w:shd w:val="clear" w:color="auto" w:fill="auto"/>
            <w:noWrap/>
            <w:vAlign w:val="center"/>
          </w:tcPr>
          <w:p w14:paraId="31A5FACA">
            <w:pPr>
              <w:widowControl/>
              <w:spacing w:beforeLines="50" w:afterLines="50"/>
              <w:jc w:val="center"/>
              <w:textAlignment w:val="center"/>
              <w:rPr>
                <w:rFonts w:ascii="仿宋" w:hAnsi="仿宋" w:eastAsia="仿宋"/>
                <w:b/>
                <w:bCs/>
                <w:color w:val="000000"/>
                <w:kern w:val="0"/>
                <w:sz w:val="32"/>
                <w:szCs w:val="32"/>
              </w:rPr>
            </w:pPr>
            <w:r>
              <w:rPr>
                <w:rFonts w:hint="eastAsia" w:ascii="仿宋" w:hAnsi="仿宋" w:eastAsia="仿宋"/>
                <w:b/>
                <w:bCs/>
                <w:color w:val="000000"/>
                <w:kern w:val="0"/>
                <w:sz w:val="28"/>
                <w:szCs w:val="28"/>
                <w:lang w:val="en-US" w:eastAsia="zh-CN"/>
              </w:rPr>
              <w:t>创新研究</w:t>
            </w:r>
            <w:r>
              <w:rPr>
                <w:rFonts w:hint="eastAsia" w:ascii="仿宋" w:hAnsi="仿宋" w:eastAsia="仿宋"/>
                <w:b/>
                <w:bCs/>
                <w:color w:val="000000"/>
                <w:kern w:val="0"/>
                <w:sz w:val="28"/>
                <w:szCs w:val="28"/>
              </w:rPr>
              <w:t>（国际赛道）</w:t>
            </w:r>
          </w:p>
        </w:tc>
      </w:tr>
      <w:tr w14:paraId="17F78BBF">
        <w:tblPrEx>
          <w:tblCellMar>
            <w:top w:w="0" w:type="dxa"/>
            <w:left w:w="108" w:type="dxa"/>
            <w:bottom w:w="0" w:type="dxa"/>
            <w:right w:w="108" w:type="dxa"/>
          </w:tblCellMar>
        </w:tblPrEx>
        <w:trPr>
          <w:trHeight w:val="567" w:hRule="atLeast"/>
        </w:trPr>
        <w:tc>
          <w:tcPr>
            <w:tcW w:w="161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085E">
            <w:pPr>
              <w:widowControl/>
              <w:jc w:val="center"/>
              <w:textAlignment w:val="center"/>
              <w:rPr>
                <w:rFonts w:hint="default" w:ascii="仿宋" w:hAnsi="仿宋" w:eastAsia="仿宋"/>
                <w:b/>
                <w:bCs/>
                <w:sz w:val="32"/>
                <w:szCs w:val="32"/>
                <w:lang w:val="en-US" w:eastAsia="zh-CN"/>
              </w:rPr>
            </w:pPr>
            <w:r>
              <w:rPr>
                <w:rFonts w:hint="eastAsia" w:ascii="仿宋" w:hAnsi="仿宋" w:eastAsia="仿宋"/>
                <w:b/>
                <w:bCs/>
                <w:kern w:val="0"/>
                <w:sz w:val="32"/>
                <w:szCs w:val="32"/>
                <w:lang w:val="en-US" w:eastAsia="zh-CN"/>
              </w:rPr>
              <w:t>作品名称</w:t>
            </w:r>
          </w:p>
        </w:tc>
        <w:tc>
          <w:tcPr>
            <w:tcW w:w="61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8E76">
            <w:pPr>
              <w:widowControl/>
              <w:jc w:val="center"/>
              <w:textAlignment w:val="center"/>
              <w:rPr>
                <w:rFonts w:ascii="仿宋" w:hAnsi="仿宋" w:eastAsia="仿宋"/>
                <w:b/>
                <w:bCs/>
                <w:sz w:val="32"/>
                <w:szCs w:val="32"/>
              </w:rPr>
            </w:pPr>
            <w:r>
              <w:rPr>
                <w:rFonts w:hint="eastAsia" w:ascii="仿宋" w:hAnsi="仿宋" w:eastAsia="仿宋"/>
                <w:b/>
                <w:bCs/>
                <w:kern w:val="0"/>
                <w:sz w:val="32"/>
                <w:szCs w:val="32"/>
                <w:lang w:val="en-US" w:eastAsia="zh-CN"/>
              </w:rPr>
              <w:t>队长</w:t>
            </w:r>
          </w:p>
        </w:tc>
        <w:tc>
          <w:tcPr>
            <w:tcW w:w="13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B04E">
            <w:pPr>
              <w:widowControl/>
              <w:jc w:val="center"/>
              <w:textAlignment w:val="center"/>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团队成员</w:t>
            </w:r>
          </w:p>
        </w:tc>
        <w:tc>
          <w:tcPr>
            <w:tcW w:w="77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D2222E5">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406C772F">
            <w:pPr>
              <w:widowControl/>
              <w:jc w:val="center"/>
              <w:textAlignment w:val="center"/>
              <w:rPr>
                <w:rFonts w:hint="default" w:ascii="仿宋" w:hAnsi="仿宋" w:eastAsia="仿宋"/>
                <w:b/>
                <w:bCs/>
                <w:sz w:val="32"/>
                <w:szCs w:val="32"/>
                <w:lang w:val="en-US" w:eastAsia="zh-CN"/>
              </w:rPr>
            </w:pPr>
            <w:r>
              <w:rPr>
                <w:rFonts w:hint="eastAsia" w:ascii="仿宋" w:hAnsi="仿宋" w:eastAsia="仿宋"/>
                <w:b/>
                <w:bCs/>
                <w:sz w:val="32"/>
                <w:szCs w:val="32"/>
                <w:lang w:val="en-US" w:eastAsia="zh-CN"/>
              </w:rPr>
              <w:t>老师</w:t>
            </w:r>
          </w:p>
        </w:tc>
        <w:tc>
          <w:tcPr>
            <w:tcW w:w="635" w:type="pct"/>
            <w:gridSpan w:val="4"/>
            <w:tcBorders>
              <w:top w:val="single" w:color="000000" w:sz="4" w:space="0"/>
              <w:left w:val="single" w:color="000000" w:sz="4" w:space="0"/>
              <w:bottom w:val="single" w:color="auto" w:sz="4" w:space="0"/>
              <w:right w:val="single" w:color="000000" w:sz="4" w:space="0"/>
            </w:tcBorders>
            <w:shd w:val="clear" w:color="auto" w:fill="auto"/>
            <w:noWrap/>
            <w:vAlign w:val="center"/>
          </w:tcPr>
          <w:p w14:paraId="190B36CB">
            <w:pPr>
              <w:widowControl/>
              <w:jc w:val="center"/>
              <w:textAlignment w:val="center"/>
              <w:rPr>
                <w:rFonts w:ascii="仿宋" w:hAnsi="仿宋" w:eastAsia="仿宋"/>
                <w:b/>
                <w:bCs/>
                <w:sz w:val="32"/>
                <w:szCs w:val="32"/>
              </w:rPr>
            </w:pPr>
            <w:r>
              <w:rPr>
                <w:rFonts w:ascii="仿宋" w:hAnsi="仿宋" w:eastAsia="仿宋"/>
                <w:b/>
                <w:bCs/>
                <w:sz w:val="32"/>
                <w:szCs w:val="32"/>
              </w:rPr>
              <w:t>校赛</w:t>
            </w:r>
          </w:p>
          <w:p w14:paraId="18D43CF8">
            <w:pPr>
              <w:widowControl/>
              <w:jc w:val="center"/>
              <w:textAlignment w:val="center"/>
              <w:rPr>
                <w:rFonts w:ascii="仿宋" w:hAnsi="仿宋" w:eastAsia="仿宋"/>
                <w:b/>
                <w:bCs/>
                <w:sz w:val="32"/>
                <w:szCs w:val="32"/>
              </w:rPr>
            </w:pPr>
            <w:r>
              <w:rPr>
                <w:rFonts w:ascii="仿宋" w:hAnsi="仿宋" w:eastAsia="仿宋"/>
                <w:b/>
                <w:bCs/>
                <w:sz w:val="32"/>
                <w:szCs w:val="32"/>
              </w:rPr>
              <w:t>获奖</w:t>
            </w:r>
          </w:p>
        </w:tc>
      </w:tr>
      <w:tr w14:paraId="29447484">
        <w:tblPrEx>
          <w:tblCellMar>
            <w:top w:w="0" w:type="dxa"/>
            <w:left w:w="108" w:type="dxa"/>
            <w:bottom w:w="0" w:type="dxa"/>
            <w:right w:w="108" w:type="dxa"/>
          </w:tblCellMar>
        </w:tblPrEx>
        <w:trPr>
          <w:trHeight w:val="567" w:hRule="atLeast"/>
        </w:trPr>
        <w:tc>
          <w:tcPr>
            <w:tcW w:w="1615" w:type="pct"/>
            <w:gridSpan w:val="2"/>
            <w:tcBorders>
              <w:top w:val="single" w:color="000000" w:sz="4" w:space="0"/>
              <w:left w:val="single" w:color="000000" w:sz="4" w:space="0"/>
              <w:right w:val="single" w:color="000000" w:sz="4" w:space="0"/>
            </w:tcBorders>
            <w:shd w:val="clear" w:color="FFFFFF" w:fill="FFFFFF"/>
            <w:noWrap/>
            <w:vAlign w:val="center"/>
          </w:tcPr>
          <w:p w14:paraId="625530DF">
            <w:pPr>
              <w:widowControl/>
              <w:jc w:val="center"/>
              <w:textAlignment w:val="center"/>
              <w:rPr>
                <w:rFonts w:ascii="仿宋" w:hAnsi="仿宋" w:eastAsia="仿宋"/>
                <w:color w:val="000000"/>
                <w:sz w:val="24"/>
                <w:szCs w:val="24"/>
              </w:rPr>
            </w:pPr>
            <w:r>
              <w:rPr>
                <w:rFonts w:hint="eastAsia" w:ascii="仿宋" w:hAnsi="仿宋" w:eastAsia="仿宋" w:cs="仿宋"/>
                <w:color w:val="000000"/>
                <w:sz w:val="24"/>
                <w:szCs w:val="24"/>
              </w:rPr>
              <w:t>智慧</w:t>
            </w:r>
            <w:r>
              <w:rPr>
                <w:rFonts w:hint="eastAsia" w:ascii="仿宋" w:hAnsi="仿宋" w:eastAsia="仿宋" w:cs="仿宋"/>
                <w:color w:val="000000"/>
                <w:sz w:val="24"/>
                <w:szCs w:val="24"/>
                <w:lang w:val="en-US" w:eastAsia="zh-CN"/>
              </w:rPr>
              <w:t>生</w:t>
            </w:r>
            <w:r>
              <w:rPr>
                <w:rFonts w:hint="eastAsia" w:ascii="仿宋" w:hAnsi="仿宋" w:eastAsia="仿宋" w:cs="仿宋"/>
                <w:color w:val="000000"/>
                <w:sz w:val="24"/>
                <w:szCs w:val="24"/>
              </w:rPr>
              <w:t>活，古</w:t>
            </w:r>
            <w:r>
              <w:rPr>
                <w:rFonts w:hint="eastAsia" w:ascii="仿宋" w:hAnsi="仿宋" w:eastAsia="仿宋" w:cs="仿宋"/>
                <w:color w:val="000000"/>
                <w:sz w:val="24"/>
                <w:szCs w:val="24"/>
                <w:lang w:val="en-US" w:eastAsia="zh-CN"/>
              </w:rPr>
              <w:t>老</w:t>
            </w:r>
            <w:r>
              <w:rPr>
                <w:rFonts w:hint="eastAsia" w:ascii="仿宋" w:hAnsi="仿宋" w:eastAsia="仿宋" w:cs="仿宋"/>
                <w:color w:val="000000"/>
                <w:sz w:val="24"/>
                <w:szCs w:val="24"/>
              </w:rPr>
              <w:t>根源：中医实践数字化</w:t>
            </w:r>
          </w:p>
        </w:tc>
        <w:tc>
          <w:tcPr>
            <w:tcW w:w="615" w:type="pct"/>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8164923">
            <w:pPr>
              <w:widowControl/>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Reski Asmiranda Asrita</w:t>
            </w:r>
          </w:p>
        </w:tc>
        <w:tc>
          <w:tcPr>
            <w:tcW w:w="1360"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4FBCFA48">
            <w:pPr>
              <w:widowControl/>
              <w:jc w:val="center"/>
              <w:textAlignment w:val="center"/>
              <w:rPr>
                <w:rFonts w:hint="eastAsia" w:ascii="仿宋" w:hAnsi="仿宋" w:eastAsia="仿宋"/>
                <w:color w:val="000000"/>
                <w:kern w:val="0"/>
                <w:sz w:val="24"/>
                <w:szCs w:val="24"/>
                <w:lang w:eastAsia="zh-CN"/>
              </w:rPr>
            </w:pPr>
            <w:r>
              <w:rPr>
                <w:rFonts w:ascii="仿宋" w:hAnsi="仿宋" w:eastAsia="仿宋"/>
                <w:color w:val="000000"/>
                <w:kern w:val="0"/>
                <w:sz w:val="24"/>
                <w:szCs w:val="24"/>
              </w:rPr>
              <w:t>Moh. Abdelhafiz Osman Ali</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Akbar Nyong Husain</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Asma</w:t>
            </w:r>
          </w:p>
        </w:tc>
        <w:tc>
          <w:tcPr>
            <w:tcW w:w="772"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6C05B8A7">
            <w:pPr>
              <w:widowControl/>
              <w:jc w:val="center"/>
              <w:textAlignment w:val="center"/>
              <w:rPr>
                <w:rFonts w:hint="eastAsia" w:ascii="仿宋" w:hAnsi="仿宋" w:eastAsia="仿宋"/>
                <w:color w:val="000000"/>
                <w:kern w:val="0"/>
                <w:sz w:val="22"/>
                <w:szCs w:val="22"/>
                <w:lang w:eastAsia="zh-CN"/>
              </w:rPr>
            </w:pPr>
            <w:r>
              <w:rPr>
                <w:rFonts w:ascii="仿宋" w:hAnsi="仿宋" w:eastAsia="仿宋"/>
                <w:color w:val="000000"/>
                <w:kern w:val="0"/>
                <w:sz w:val="24"/>
                <w:szCs w:val="24"/>
              </w:rPr>
              <w:t>舒余安</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朱春潮</w:t>
            </w:r>
          </w:p>
        </w:tc>
        <w:tc>
          <w:tcPr>
            <w:tcW w:w="635" w:type="pct"/>
            <w:gridSpan w:val="4"/>
            <w:tcBorders>
              <w:top w:val="single" w:color="auto" w:sz="4" w:space="0"/>
              <w:left w:val="single" w:color="auto" w:sz="4" w:space="0"/>
              <w:bottom w:val="single" w:color="auto" w:sz="4" w:space="0"/>
              <w:right w:val="single" w:color="auto" w:sz="4" w:space="0"/>
            </w:tcBorders>
            <w:shd w:val="clear" w:color="FFFFFF" w:fill="FFFFFF"/>
            <w:noWrap/>
            <w:vAlign w:val="center"/>
          </w:tcPr>
          <w:p w14:paraId="5CA399F2">
            <w:pPr>
              <w:widowControl/>
              <w:jc w:val="center"/>
              <w:textAlignment w:val="center"/>
              <w:rPr>
                <w:rFonts w:ascii="仿宋" w:hAnsi="仿宋" w:eastAsia="仿宋"/>
                <w:color w:val="000000"/>
                <w:sz w:val="24"/>
                <w:szCs w:val="24"/>
              </w:rPr>
            </w:pPr>
            <w:r>
              <w:rPr>
                <w:rFonts w:ascii="仿宋" w:hAnsi="仿宋" w:eastAsia="仿宋"/>
                <w:color w:val="000000"/>
                <w:kern w:val="0"/>
                <w:sz w:val="22"/>
                <w:szCs w:val="22"/>
              </w:rPr>
              <w:t>一等奖</w:t>
            </w:r>
          </w:p>
        </w:tc>
      </w:tr>
      <w:tr w14:paraId="69000BD1">
        <w:tblPrEx>
          <w:tblCellMar>
            <w:top w:w="0" w:type="dxa"/>
            <w:left w:w="108" w:type="dxa"/>
            <w:bottom w:w="0" w:type="dxa"/>
            <w:right w:w="108" w:type="dxa"/>
          </w:tblCellMar>
        </w:tblPrEx>
        <w:trPr>
          <w:trHeight w:val="567" w:hRule="atLeast"/>
        </w:trPr>
        <w:tc>
          <w:tcPr>
            <w:tcW w:w="1615" w:type="pct"/>
            <w:gridSpan w:val="2"/>
            <w:tcBorders>
              <w:top w:val="single" w:color="000000" w:sz="4" w:space="0"/>
              <w:left w:val="single" w:color="000000" w:sz="4" w:space="0"/>
              <w:bottom w:val="single" w:color="auto" w:sz="4" w:space="0"/>
              <w:right w:val="single" w:color="000000" w:sz="4" w:space="0"/>
            </w:tcBorders>
            <w:shd w:val="clear" w:color="FFFFFF" w:fill="FFFFFF"/>
            <w:noWrap/>
            <w:vAlign w:val="center"/>
          </w:tcPr>
          <w:p w14:paraId="434E4ACB">
            <w:pPr>
              <w:widowControl/>
              <w:jc w:val="center"/>
              <w:textAlignment w:val="center"/>
              <w:rPr>
                <w:rFonts w:ascii="仿宋" w:hAnsi="仿宋" w:eastAsia="仿宋"/>
                <w:color w:val="000000"/>
                <w:sz w:val="24"/>
                <w:szCs w:val="24"/>
              </w:rPr>
            </w:pPr>
            <w:r>
              <w:rPr>
                <w:rFonts w:hint="eastAsia" w:ascii="仿宋" w:hAnsi="仿宋" w:eastAsia="仿宋"/>
                <w:color w:val="000000"/>
                <w:sz w:val="24"/>
                <w:szCs w:val="24"/>
              </w:rPr>
              <w:t>女性更年期与愤怒情绪：多维度关系剖析</w:t>
            </w:r>
          </w:p>
        </w:tc>
        <w:tc>
          <w:tcPr>
            <w:tcW w:w="615" w:type="pct"/>
            <w:gridSpan w:val="3"/>
            <w:tcBorders>
              <w:top w:val="single" w:color="000000" w:sz="4" w:space="0"/>
              <w:left w:val="single" w:color="000000" w:sz="4" w:space="0"/>
              <w:bottom w:val="single" w:color="auto" w:sz="4" w:space="0"/>
              <w:right w:val="single" w:color="000000" w:sz="4" w:space="0"/>
            </w:tcBorders>
            <w:shd w:val="clear" w:color="FFFFFF" w:fill="FFFFFF"/>
            <w:noWrap/>
            <w:vAlign w:val="center"/>
          </w:tcPr>
          <w:p w14:paraId="33111159">
            <w:pPr>
              <w:widowControl/>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Alikha ayaz</w:t>
            </w:r>
          </w:p>
        </w:tc>
        <w:tc>
          <w:tcPr>
            <w:tcW w:w="1360" w:type="pct"/>
            <w:gridSpan w:val="2"/>
            <w:tcBorders>
              <w:top w:val="single" w:color="000000" w:sz="4" w:space="0"/>
              <w:left w:val="single" w:color="000000" w:sz="4" w:space="0"/>
              <w:bottom w:val="single" w:color="auto" w:sz="4" w:space="0"/>
              <w:right w:val="single" w:color="auto" w:sz="4" w:space="0"/>
            </w:tcBorders>
            <w:shd w:val="clear" w:color="FFFFFF" w:fill="FFFFFF"/>
            <w:noWrap/>
            <w:vAlign w:val="center"/>
          </w:tcPr>
          <w:p w14:paraId="0AC84BF2">
            <w:pPr>
              <w:widowControl/>
              <w:jc w:val="center"/>
              <w:textAlignment w:val="center"/>
              <w:rPr>
                <w:rFonts w:hint="eastAsia" w:ascii="仿宋" w:hAnsi="仿宋" w:eastAsia="仿宋"/>
                <w:color w:val="000000"/>
                <w:kern w:val="0"/>
                <w:sz w:val="24"/>
                <w:szCs w:val="24"/>
                <w:lang w:eastAsia="zh-CN"/>
              </w:rPr>
            </w:pPr>
            <w:r>
              <w:rPr>
                <w:rFonts w:ascii="仿宋" w:hAnsi="仿宋" w:eastAsia="仿宋"/>
                <w:color w:val="000000"/>
                <w:kern w:val="0"/>
                <w:sz w:val="24"/>
                <w:szCs w:val="24"/>
              </w:rPr>
              <w:t>吴祎优</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Nimra Kanwal</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Vusizwe</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Shandana Amin</w:t>
            </w:r>
          </w:p>
        </w:tc>
        <w:tc>
          <w:tcPr>
            <w:tcW w:w="772"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2BEADA31">
            <w:pPr>
              <w:widowControl/>
              <w:jc w:val="center"/>
              <w:textAlignment w:val="center"/>
              <w:rPr>
                <w:rFonts w:hint="eastAsia" w:ascii="仿宋" w:hAnsi="仿宋" w:eastAsia="仿宋"/>
                <w:color w:val="000000"/>
                <w:kern w:val="0"/>
                <w:sz w:val="22"/>
                <w:szCs w:val="22"/>
                <w:lang w:eastAsia="zh-CN"/>
              </w:rPr>
            </w:pPr>
            <w:r>
              <w:rPr>
                <w:rFonts w:ascii="仿宋" w:hAnsi="仿宋" w:eastAsia="仿宋"/>
                <w:color w:val="000000"/>
                <w:kern w:val="0"/>
                <w:sz w:val="24"/>
                <w:szCs w:val="24"/>
              </w:rPr>
              <w:t>瞿国兴</w:t>
            </w:r>
            <w:r>
              <w:rPr>
                <w:rFonts w:hint="eastAsia" w:ascii="仿宋" w:hAnsi="仿宋" w:eastAsia="仿宋"/>
                <w:color w:val="000000"/>
                <w:kern w:val="0"/>
                <w:sz w:val="24"/>
                <w:szCs w:val="24"/>
                <w:lang w:eastAsia="zh-CN"/>
              </w:rPr>
              <w:t>，</w:t>
            </w:r>
            <w:r>
              <w:rPr>
                <w:rFonts w:ascii="仿宋" w:hAnsi="仿宋" w:eastAsia="仿宋"/>
                <w:color w:val="000000"/>
                <w:kern w:val="0"/>
                <w:sz w:val="24"/>
                <w:szCs w:val="24"/>
              </w:rPr>
              <w:t>熊秀娟</w:t>
            </w:r>
          </w:p>
        </w:tc>
        <w:tc>
          <w:tcPr>
            <w:tcW w:w="635" w:type="pct"/>
            <w:gridSpan w:val="4"/>
            <w:tcBorders>
              <w:top w:val="single" w:color="auto" w:sz="4" w:space="0"/>
              <w:left w:val="single" w:color="auto" w:sz="4" w:space="0"/>
              <w:bottom w:val="single" w:color="auto" w:sz="4" w:space="0"/>
              <w:right w:val="single" w:color="auto" w:sz="4" w:space="0"/>
            </w:tcBorders>
            <w:shd w:val="clear" w:color="FFFFFF" w:fill="FFFFFF"/>
            <w:noWrap/>
            <w:vAlign w:val="center"/>
          </w:tcPr>
          <w:p w14:paraId="2485AC90">
            <w:pPr>
              <w:widowControl/>
              <w:jc w:val="center"/>
              <w:textAlignment w:val="center"/>
              <w:rPr>
                <w:rFonts w:ascii="仿宋" w:hAnsi="仿宋" w:eastAsia="仿宋"/>
                <w:color w:val="000000"/>
                <w:sz w:val="24"/>
                <w:szCs w:val="24"/>
              </w:rPr>
            </w:pPr>
            <w:r>
              <w:rPr>
                <w:rFonts w:ascii="仿宋" w:hAnsi="仿宋" w:eastAsia="仿宋"/>
                <w:color w:val="000000"/>
                <w:kern w:val="0"/>
                <w:sz w:val="22"/>
                <w:szCs w:val="22"/>
              </w:rPr>
              <w:t>二等奖</w:t>
            </w:r>
          </w:p>
        </w:tc>
      </w:tr>
      <w:tr w14:paraId="45D1886C">
        <w:tblPrEx>
          <w:tblCellMar>
            <w:top w:w="0" w:type="dxa"/>
            <w:left w:w="108" w:type="dxa"/>
            <w:bottom w:w="0" w:type="dxa"/>
            <w:right w:w="108" w:type="dxa"/>
          </w:tblCellMar>
        </w:tblPrEx>
        <w:trPr>
          <w:trHeight w:val="567" w:hRule="atLeast"/>
        </w:trPr>
        <w:tc>
          <w:tcPr>
            <w:tcW w:w="1615" w:type="pct"/>
            <w:gridSpan w:val="2"/>
            <w:tcBorders>
              <w:top w:val="single" w:color="auto" w:sz="4" w:space="0"/>
              <w:left w:val="single" w:color="auto" w:sz="4" w:space="0"/>
              <w:bottom w:val="single" w:color="auto" w:sz="4" w:space="0"/>
              <w:right w:val="single" w:color="000000" w:sz="4" w:space="0"/>
            </w:tcBorders>
            <w:shd w:val="clear" w:color="FFFFFF" w:fill="FFFFFF"/>
            <w:noWrap/>
            <w:vAlign w:val="center"/>
          </w:tcPr>
          <w:p w14:paraId="59ED536E">
            <w:pPr>
              <w:widowControl/>
              <w:jc w:val="center"/>
              <w:textAlignment w:val="center"/>
              <w:rPr>
                <w:rFonts w:ascii="仿宋" w:hAnsi="仿宋" w:eastAsia="仿宋"/>
                <w:color w:val="000000"/>
                <w:sz w:val="24"/>
                <w:szCs w:val="24"/>
              </w:rPr>
            </w:pPr>
            <w:r>
              <w:rPr>
                <w:rFonts w:hint="eastAsia" w:ascii="仿宋" w:hAnsi="仿宋" w:eastAsia="仿宋"/>
                <w:color w:val="000000"/>
                <w:kern w:val="0"/>
                <w:sz w:val="24"/>
                <w:szCs w:val="24"/>
              </w:rPr>
              <w:t>中国与巴基斯坦中医药文化交流现状研究</w:t>
            </w:r>
            <w:r>
              <w:rPr>
                <w:rFonts w:ascii="仿宋" w:hAnsi="仿宋" w:eastAsia="仿宋"/>
                <w:color w:val="000000"/>
                <w:kern w:val="0"/>
                <w:sz w:val="24"/>
                <w:szCs w:val="24"/>
              </w:rPr>
              <w:t xml:space="preserve">  </w:t>
            </w:r>
          </w:p>
        </w:tc>
        <w:tc>
          <w:tcPr>
            <w:tcW w:w="615" w:type="pct"/>
            <w:gridSpan w:val="3"/>
            <w:tcBorders>
              <w:top w:val="single" w:color="auto" w:sz="4" w:space="0"/>
              <w:left w:val="single" w:color="000000" w:sz="4" w:space="0"/>
              <w:bottom w:val="single" w:color="auto" w:sz="4" w:space="0"/>
              <w:right w:val="single" w:color="000000" w:sz="4" w:space="0"/>
            </w:tcBorders>
            <w:shd w:val="clear" w:color="FFFFFF" w:fill="FFFFFF"/>
            <w:noWrap/>
            <w:vAlign w:val="center"/>
          </w:tcPr>
          <w:p w14:paraId="21873B3B">
            <w:pPr>
              <w:widowControl/>
              <w:jc w:val="center"/>
              <w:textAlignment w:val="center"/>
              <w:rPr>
                <w:rFonts w:ascii="仿宋" w:hAnsi="仿宋" w:eastAsia="仿宋"/>
                <w:color w:val="000000"/>
                <w:kern w:val="0"/>
                <w:sz w:val="24"/>
                <w:szCs w:val="24"/>
              </w:rPr>
            </w:pPr>
            <w:r>
              <w:rPr>
                <w:rFonts w:ascii="仿宋" w:hAnsi="仿宋" w:eastAsia="仿宋"/>
                <w:color w:val="000000"/>
                <w:kern w:val="0"/>
                <w:sz w:val="24"/>
                <w:szCs w:val="24"/>
              </w:rPr>
              <w:t>Siffat ullah</w:t>
            </w:r>
          </w:p>
        </w:tc>
        <w:tc>
          <w:tcPr>
            <w:tcW w:w="1360" w:type="pct"/>
            <w:gridSpan w:val="2"/>
            <w:tcBorders>
              <w:top w:val="single" w:color="auto" w:sz="4" w:space="0"/>
              <w:left w:val="single" w:color="000000" w:sz="4" w:space="0"/>
              <w:bottom w:val="single" w:color="auto" w:sz="4" w:space="0"/>
              <w:right w:val="single" w:color="auto" w:sz="4" w:space="0"/>
            </w:tcBorders>
            <w:shd w:val="clear" w:color="FFFFFF" w:fill="FFFFFF"/>
            <w:noWrap/>
            <w:vAlign w:val="center"/>
          </w:tcPr>
          <w:p w14:paraId="0B0521A9">
            <w:pPr>
              <w:widowControl/>
              <w:jc w:val="center"/>
              <w:textAlignment w:val="center"/>
              <w:rPr>
                <w:rFonts w:hint="eastAsia" w:ascii="仿宋" w:hAnsi="仿宋" w:eastAsia="仿宋"/>
                <w:color w:val="000000"/>
                <w:kern w:val="0"/>
                <w:sz w:val="24"/>
                <w:szCs w:val="24"/>
                <w:lang w:eastAsia="zh-CN"/>
              </w:rPr>
            </w:pPr>
            <w:r>
              <w:rPr>
                <w:rFonts w:hint="eastAsia" w:ascii="仿宋" w:hAnsi="仿宋" w:eastAsia="仿宋" w:cs="宋体"/>
                <w:color w:val="000000"/>
                <w:kern w:val="0"/>
                <w:sz w:val="24"/>
                <w:szCs w:val="24"/>
              </w:rPr>
              <w:t>MUNEEB UR RAHMAN</w:t>
            </w: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rPr>
              <w:t>ABDUL AZAM KHAN</w:t>
            </w: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rPr>
              <w:t>Azan Khan</w:t>
            </w:r>
            <w:r>
              <w:rPr>
                <w:rFonts w:hint="eastAsia" w:ascii="仿宋" w:hAnsi="仿宋" w:eastAsia="仿宋" w:cs="宋体"/>
                <w:color w:val="000000"/>
                <w:kern w:val="0"/>
                <w:sz w:val="24"/>
                <w:szCs w:val="24"/>
                <w:lang w:eastAsia="zh-CN"/>
              </w:rPr>
              <w:t>，</w:t>
            </w:r>
            <w:r>
              <w:rPr>
                <w:rFonts w:hint="eastAsia" w:ascii="仿宋" w:hAnsi="仿宋" w:eastAsia="仿宋" w:cs="宋体"/>
                <w:color w:val="000000"/>
                <w:kern w:val="0"/>
                <w:sz w:val="24"/>
                <w:szCs w:val="24"/>
              </w:rPr>
              <w:t>Shah Faisal</w:t>
            </w:r>
          </w:p>
        </w:tc>
        <w:tc>
          <w:tcPr>
            <w:tcW w:w="772"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67BCA2FA">
            <w:pPr>
              <w:widowControl/>
              <w:jc w:val="center"/>
              <w:textAlignment w:val="center"/>
              <w:rPr>
                <w:rFonts w:ascii="仿宋" w:hAnsi="仿宋" w:eastAsia="仿宋"/>
                <w:color w:val="000000"/>
                <w:kern w:val="0"/>
                <w:sz w:val="22"/>
                <w:szCs w:val="22"/>
              </w:rPr>
            </w:pPr>
            <w:r>
              <w:rPr>
                <w:rFonts w:hint="default" w:ascii="仿宋" w:hAnsi="仿宋" w:eastAsia="仿宋"/>
                <w:color w:val="000000"/>
                <w:kern w:val="0"/>
                <w:sz w:val="24"/>
                <w:szCs w:val="24"/>
                <w:lang w:val="en-US" w:eastAsia="zh-CN"/>
              </w:rPr>
              <w:t>凌云</w:t>
            </w:r>
          </w:p>
        </w:tc>
        <w:tc>
          <w:tcPr>
            <w:tcW w:w="635" w:type="pct"/>
            <w:gridSpan w:val="4"/>
            <w:tcBorders>
              <w:top w:val="single" w:color="auto" w:sz="4" w:space="0"/>
              <w:left w:val="single" w:color="auto" w:sz="4" w:space="0"/>
              <w:bottom w:val="single" w:color="auto" w:sz="4" w:space="0"/>
              <w:right w:val="single" w:color="auto" w:sz="4" w:space="0"/>
            </w:tcBorders>
            <w:shd w:val="clear" w:color="FFFFFF" w:fill="FFFFFF"/>
            <w:noWrap/>
            <w:vAlign w:val="center"/>
          </w:tcPr>
          <w:p w14:paraId="500A26E4">
            <w:pPr>
              <w:widowControl/>
              <w:jc w:val="center"/>
              <w:textAlignment w:val="center"/>
              <w:rPr>
                <w:rFonts w:ascii="仿宋" w:hAnsi="仿宋" w:eastAsia="仿宋"/>
                <w:color w:val="000000"/>
                <w:sz w:val="24"/>
                <w:szCs w:val="24"/>
              </w:rPr>
            </w:pPr>
            <w:r>
              <w:rPr>
                <w:rFonts w:ascii="仿宋" w:hAnsi="仿宋" w:eastAsia="仿宋"/>
                <w:color w:val="000000"/>
                <w:kern w:val="0"/>
                <w:sz w:val="22"/>
                <w:szCs w:val="22"/>
              </w:rPr>
              <w:t>三等奖</w:t>
            </w:r>
          </w:p>
        </w:tc>
      </w:tr>
      <w:tr w14:paraId="10EE1C93">
        <w:tblPrEx>
          <w:tblCellMar>
            <w:top w:w="0" w:type="dxa"/>
            <w:left w:w="108" w:type="dxa"/>
            <w:bottom w:w="0" w:type="dxa"/>
            <w:right w:w="108" w:type="dxa"/>
          </w:tblCellMar>
        </w:tblPrEx>
        <w:trPr>
          <w:gridBefore w:val="1"/>
          <w:gridAfter w:val="1"/>
          <w:wBefore w:w="3" w:type="pct"/>
          <w:wAfter w:w="6" w:type="pct"/>
          <w:trHeight w:val="627" w:hRule="atLeast"/>
        </w:trPr>
        <w:tc>
          <w:tcPr>
            <w:tcW w:w="4990" w:type="pct"/>
            <w:gridSpan w:val="10"/>
            <w:tcBorders>
              <w:top w:val="nil"/>
              <w:left w:val="nil"/>
              <w:bottom w:val="nil"/>
              <w:right w:val="nil"/>
            </w:tcBorders>
            <w:shd w:val="clear" w:color="auto" w:fill="auto"/>
            <w:noWrap/>
            <w:vAlign w:val="center"/>
          </w:tcPr>
          <w:p w14:paraId="4F7F3D58">
            <w:pPr>
              <w:widowControl/>
              <w:spacing w:beforeLines="50" w:afterLines="50"/>
              <w:jc w:val="center"/>
              <w:textAlignment w:val="center"/>
              <w:rPr>
                <w:rFonts w:ascii="宋体" w:hAnsi="宋体" w:cs="宋体"/>
                <w:b/>
                <w:bCs/>
                <w:color w:val="000000"/>
                <w:sz w:val="32"/>
                <w:szCs w:val="32"/>
              </w:rPr>
            </w:pPr>
            <w:r>
              <w:rPr>
                <w:rFonts w:hint="eastAsia" w:ascii="仿宋" w:hAnsi="仿宋" w:eastAsia="仿宋"/>
                <w:b/>
                <w:bCs/>
                <w:color w:val="000000"/>
                <w:kern w:val="0"/>
                <w:sz w:val="28"/>
                <w:szCs w:val="28"/>
              </w:rPr>
              <w:t>实验设计（国际赛道）</w:t>
            </w:r>
          </w:p>
        </w:tc>
      </w:tr>
      <w:tr w14:paraId="2FF115E2">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8A2B">
            <w:pPr>
              <w:widowControl/>
              <w:jc w:val="center"/>
              <w:textAlignment w:val="center"/>
              <w:rPr>
                <w:rFonts w:eastAsia="黑体"/>
                <w:color w:val="000000"/>
                <w:sz w:val="32"/>
                <w:szCs w:val="32"/>
              </w:rPr>
            </w:pPr>
            <w:r>
              <w:rPr>
                <w:rFonts w:hint="eastAsia" w:ascii="仿宋" w:hAnsi="仿宋" w:eastAsia="仿宋"/>
                <w:b/>
                <w:bCs/>
                <w:kern w:val="0"/>
                <w:sz w:val="32"/>
                <w:szCs w:val="32"/>
                <w:lang w:val="en-US" w:eastAsia="zh-CN"/>
              </w:rPr>
              <w:t>作品名称</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7F74">
            <w:pPr>
              <w:widowControl/>
              <w:jc w:val="center"/>
              <w:textAlignment w:val="center"/>
              <w:rPr>
                <w:rFonts w:eastAsia="黑体"/>
                <w:color w:val="000000"/>
                <w:sz w:val="32"/>
                <w:szCs w:val="32"/>
              </w:rPr>
            </w:pPr>
            <w:r>
              <w:rPr>
                <w:rFonts w:hint="eastAsia" w:ascii="仿宋" w:hAnsi="仿宋" w:eastAsia="仿宋"/>
                <w:b/>
                <w:bCs/>
                <w:kern w:val="0"/>
                <w:sz w:val="32"/>
                <w:szCs w:val="32"/>
                <w:lang w:val="en-US" w:eastAsia="zh-CN"/>
              </w:rPr>
              <w:t>队长</w:t>
            </w:r>
          </w:p>
        </w:tc>
        <w:tc>
          <w:tcPr>
            <w:tcW w:w="135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22BC">
            <w:pPr>
              <w:widowControl/>
              <w:jc w:val="center"/>
              <w:textAlignment w:val="center"/>
              <w:rPr>
                <w:rFonts w:eastAsia="黑体"/>
                <w:color w:val="000000"/>
                <w:sz w:val="32"/>
                <w:szCs w:val="32"/>
              </w:rPr>
            </w:pPr>
            <w:r>
              <w:rPr>
                <w:rFonts w:hint="eastAsia" w:ascii="仿宋" w:hAnsi="仿宋" w:eastAsia="仿宋"/>
                <w:b/>
                <w:bCs/>
                <w:sz w:val="32"/>
                <w:szCs w:val="32"/>
                <w:lang w:val="en-US" w:eastAsia="zh-CN"/>
              </w:rPr>
              <w:t>团队成员</w:t>
            </w:r>
          </w:p>
        </w:tc>
        <w:tc>
          <w:tcPr>
            <w:tcW w:w="79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2D9A">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29FA0C35">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6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6D248">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4D845209">
        <w:tblPrEx>
          <w:tblCellMar>
            <w:top w:w="0" w:type="dxa"/>
            <w:left w:w="108" w:type="dxa"/>
            <w:bottom w:w="0" w:type="dxa"/>
            <w:right w:w="108" w:type="dxa"/>
          </w:tblCellMar>
        </w:tblPrEx>
        <w:trPr>
          <w:gridBefore w:val="1"/>
          <w:gridAfter w:val="1"/>
          <w:wBefore w:w="3" w:type="pct"/>
          <w:wAfter w:w="6" w:type="pct"/>
          <w:trHeight w:val="1056"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002B460F">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sz w:val="24"/>
                <w:szCs w:val="24"/>
              </w:rPr>
              <w:t>乳酸化修饰通过AARS2-MDH2通路介导线粒体自噬促进胶质母细胞瘤恶性进展的机制研究</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67B07589">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曹毓隆</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324E3F4E">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张婧怡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陈一鸣</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刘承瑞</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李奉泽</w:t>
            </w:r>
          </w:p>
        </w:tc>
        <w:tc>
          <w:tcPr>
            <w:tcW w:w="796" w:type="pct"/>
            <w:gridSpan w:val="3"/>
            <w:tcBorders>
              <w:top w:val="single" w:color="000000" w:sz="4" w:space="0"/>
              <w:left w:val="single" w:color="000000" w:sz="4" w:space="0"/>
              <w:right w:val="single" w:color="000000" w:sz="4" w:space="0"/>
            </w:tcBorders>
            <w:shd w:val="clear" w:color="FFFF00" w:fill="auto"/>
            <w:noWrap/>
            <w:vAlign w:val="center"/>
          </w:tcPr>
          <w:p w14:paraId="49F4B019">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杨新雷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刘俊哲</w:t>
            </w:r>
          </w:p>
        </w:tc>
        <w:tc>
          <w:tcPr>
            <w:tcW w:w="620" w:type="pct"/>
            <w:gridSpan w:val="2"/>
            <w:tcBorders>
              <w:top w:val="single" w:color="000000" w:sz="4" w:space="0"/>
              <w:left w:val="single" w:color="000000" w:sz="4" w:space="0"/>
              <w:right w:val="single" w:color="000000" w:sz="4" w:space="0"/>
            </w:tcBorders>
            <w:shd w:val="clear" w:color="FFFF00" w:fill="auto"/>
            <w:noWrap/>
            <w:vAlign w:val="center"/>
          </w:tcPr>
          <w:p w14:paraId="4797CBD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14:paraId="41CA0255">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594358D5">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脂滴贮存在甘油激酶诱导乳腺癌细胞增殖机制中的作用</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3D1BF7C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MOIZ KHAN</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6A2C32B1">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Tayyaba Yousaf</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MURTAZA QAZI</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Shan Ijaz</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Hilal ahmad</w:t>
            </w:r>
          </w:p>
        </w:tc>
        <w:tc>
          <w:tcPr>
            <w:tcW w:w="796" w:type="pct"/>
            <w:gridSpan w:val="3"/>
            <w:tcBorders>
              <w:top w:val="single" w:color="000000" w:sz="4" w:space="0"/>
              <w:left w:val="single" w:color="000000" w:sz="4" w:space="0"/>
              <w:right w:val="single" w:color="000000" w:sz="4" w:space="0"/>
            </w:tcBorders>
            <w:shd w:val="clear" w:color="FFFF00" w:fill="auto"/>
            <w:noWrap/>
            <w:vAlign w:val="center"/>
          </w:tcPr>
          <w:p w14:paraId="4BA6F1B7">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胡晓鹃</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黄春洪</w:t>
            </w:r>
          </w:p>
        </w:tc>
        <w:tc>
          <w:tcPr>
            <w:tcW w:w="620" w:type="pct"/>
            <w:gridSpan w:val="2"/>
            <w:tcBorders>
              <w:top w:val="single" w:color="000000" w:sz="4" w:space="0"/>
              <w:left w:val="single" w:color="000000" w:sz="4" w:space="0"/>
              <w:right w:val="single" w:color="000000" w:sz="4" w:space="0"/>
            </w:tcBorders>
            <w:shd w:val="clear" w:color="FFFF00" w:fill="auto"/>
            <w:noWrap/>
            <w:vAlign w:val="center"/>
          </w:tcPr>
          <w:p w14:paraId="1753CCF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14:paraId="6DBF84B9">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2B82651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NFE2L1通过调控NDUFA9泛素化降解调节线粒体功能障碍对内皮功能障碍及动脉粥样硬化影响的研究</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01453A6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詹辰曦</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4B6BA693">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李昊颖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刘思成</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危家赫</w:t>
            </w:r>
          </w:p>
        </w:tc>
        <w:tc>
          <w:tcPr>
            <w:tcW w:w="796" w:type="pct"/>
            <w:gridSpan w:val="3"/>
            <w:tcBorders>
              <w:top w:val="single" w:color="000000" w:sz="4" w:space="0"/>
              <w:left w:val="single" w:color="000000" w:sz="4" w:space="0"/>
              <w:right w:val="single" w:color="000000" w:sz="4" w:space="0"/>
            </w:tcBorders>
            <w:shd w:val="clear" w:color="FFFF00" w:fill="auto"/>
            <w:noWrap/>
            <w:vAlign w:val="center"/>
          </w:tcPr>
          <w:p w14:paraId="0A99CB8A">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颜念龙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万小娟</w:t>
            </w:r>
          </w:p>
        </w:tc>
        <w:tc>
          <w:tcPr>
            <w:tcW w:w="620" w:type="pct"/>
            <w:gridSpan w:val="2"/>
            <w:tcBorders>
              <w:top w:val="single" w:color="000000" w:sz="4" w:space="0"/>
              <w:left w:val="single" w:color="000000" w:sz="4" w:space="0"/>
              <w:right w:val="single" w:color="000000" w:sz="4" w:space="0"/>
            </w:tcBorders>
            <w:shd w:val="clear" w:color="FFFF00" w:fill="auto"/>
            <w:noWrap/>
            <w:vAlign w:val="center"/>
          </w:tcPr>
          <w:p w14:paraId="5A39AA8F">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二等奖</w:t>
            </w:r>
          </w:p>
        </w:tc>
      </w:tr>
      <w:tr w14:paraId="652A5B95">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2FD1698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Akkermansia muciniphila 改善大学生超重/肥胖及缓解其焦虑和抑郁样行为：一项随机、双盲、安慰剂对照试验</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0EA66E8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黄禹雄</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3A48425F">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张博斌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薛雅斐</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廖瀚琛</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田峰旭</w:t>
            </w:r>
          </w:p>
        </w:tc>
        <w:tc>
          <w:tcPr>
            <w:tcW w:w="796" w:type="pct"/>
            <w:gridSpan w:val="3"/>
            <w:tcBorders>
              <w:top w:val="single" w:color="000000" w:sz="4" w:space="0"/>
              <w:left w:val="single" w:color="000000" w:sz="4" w:space="0"/>
              <w:bottom w:val="single" w:color="auto" w:sz="4" w:space="0"/>
              <w:right w:val="single" w:color="000000" w:sz="4" w:space="0"/>
            </w:tcBorders>
            <w:shd w:val="clear" w:color="FFFF00" w:fill="auto"/>
            <w:noWrap/>
            <w:vAlign w:val="center"/>
          </w:tcPr>
          <w:p w14:paraId="350A295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陈廷涛</w:t>
            </w:r>
          </w:p>
        </w:tc>
        <w:tc>
          <w:tcPr>
            <w:tcW w:w="620" w:type="pct"/>
            <w:gridSpan w:val="2"/>
            <w:tcBorders>
              <w:top w:val="single" w:color="000000" w:sz="4" w:space="0"/>
              <w:left w:val="single" w:color="000000" w:sz="4" w:space="0"/>
              <w:bottom w:val="single" w:color="auto" w:sz="4" w:space="0"/>
              <w:right w:val="single" w:color="000000" w:sz="4" w:space="0"/>
            </w:tcBorders>
            <w:shd w:val="clear" w:color="FFFF00" w:fill="auto"/>
            <w:noWrap/>
            <w:vAlign w:val="center"/>
          </w:tcPr>
          <w:p w14:paraId="41105A7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二等奖</w:t>
            </w:r>
          </w:p>
        </w:tc>
      </w:tr>
      <w:tr w14:paraId="3EC59DC8">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630D46D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短链脂肪酸丙酸调控FSP1泛素化降解诱导肝癌细胞铁死亡的分子机制研究</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3BCFD5B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张雅馨</w:t>
            </w:r>
          </w:p>
        </w:tc>
        <w:tc>
          <w:tcPr>
            <w:tcW w:w="1352" w:type="pct"/>
            <w:gridSpan w:val="2"/>
            <w:tcBorders>
              <w:top w:val="single" w:color="000000" w:sz="4" w:space="0"/>
              <w:left w:val="single" w:color="000000" w:sz="4" w:space="0"/>
              <w:bottom w:val="single" w:color="000000" w:sz="4" w:space="0"/>
              <w:right w:val="single" w:color="auto" w:sz="4" w:space="0"/>
            </w:tcBorders>
            <w:shd w:val="clear" w:color="FFFF00" w:fill="auto"/>
            <w:noWrap/>
            <w:vAlign w:val="center"/>
          </w:tcPr>
          <w:p w14:paraId="3E5AED7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胡池玥</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徐欣钿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杨覃</w:t>
            </w:r>
          </w:p>
        </w:tc>
        <w:tc>
          <w:tcPr>
            <w:tcW w:w="796" w:type="pct"/>
            <w:gridSpan w:val="3"/>
            <w:tcBorders>
              <w:top w:val="single" w:color="auto" w:sz="4" w:space="0"/>
              <w:left w:val="single" w:color="auto" w:sz="4" w:space="0"/>
              <w:bottom w:val="single" w:color="auto" w:sz="4" w:space="0"/>
              <w:right w:val="single" w:color="000000" w:sz="4" w:space="0"/>
            </w:tcBorders>
            <w:shd w:val="clear" w:color="FFFF00" w:fill="auto"/>
            <w:noWrap/>
            <w:vAlign w:val="center"/>
          </w:tcPr>
          <w:p w14:paraId="5CB0F50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边学利</w:t>
            </w:r>
          </w:p>
        </w:tc>
        <w:tc>
          <w:tcPr>
            <w:tcW w:w="620" w:type="pct"/>
            <w:gridSpan w:val="2"/>
            <w:tcBorders>
              <w:top w:val="single" w:color="auto" w:sz="4" w:space="0"/>
              <w:left w:val="single" w:color="000000" w:sz="4" w:space="0"/>
              <w:bottom w:val="single" w:color="auto" w:sz="4" w:space="0"/>
              <w:right w:val="single" w:color="auto" w:sz="4" w:space="0"/>
            </w:tcBorders>
            <w:shd w:val="clear" w:color="FFFF00" w:fill="auto"/>
            <w:noWrap/>
            <w:vAlign w:val="center"/>
          </w:tcPr>
          <w:p w14:paraId="21EA859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二等奖</w:t>
            </w:r>
          </w:p>
        </w:tc>
      </w:tr>
      <w:tr w14:paraId="4BE581D9">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63332BA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E3泛素连接酶TRIM24/TRIM33复合体通过调控复制许可因子MCM7的泛素化影响非小细胞肺癌发生发展</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347F6CD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ZAIN ALI</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5EC6A071">
            <w:pPr>
              <w:widowControl/>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ZOHAIB MUHAMMAD</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Saboor Sajjad Hussain</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Muhammad shoaib</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MUHAMMAD YASIN</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514A9F25">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谢彩凤</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黄春洪</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15F6D71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二等奖</w:t>
            </w:r>
          </w:p>
        </w:tc>
      </w:tr>
      <w:tr w14:paraId="1A18315A">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2A63FA2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难治性系统性红斑狼疮（SLE）患者应用双靶向抗CD19/BCMA超能Hi-TCR-T细胞疗法的安全性及可行性评估</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064A6A55">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罗浩宇</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16D1FFC6">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吴彦东</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夏鹏翱</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267D5C43">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罗志军</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喻敏</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43F84C3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三等奖</w:t>
            </w:r>
          </w:p>
        </w:tc>
      </w:tr>
      <w:tr w14:paraId="5B058554">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41CD760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CCDC43通过激活NF-κB-Wnt5a-FZD6-FAK信号轴促进肺癌发展</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78911CE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宁丁一</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0BDC50AA">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王星辰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杨明婕</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贾中岳</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3D59C698">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应牡英</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罗志军</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204FA40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三等奖</w:t>
            </w:r>
          </w:p>
        </w:tc>
      </w:tr>
      <w:tr w14:paraId="61BD26FA">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786FA42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护“胃”安康—炎症响应型工程菌实现幽门螺杆菌的预防与治疗</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1264891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李子俊</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3086C0A5">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孙如梦</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李愉</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朱方正</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张敏讷</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0726E6F8">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王小磊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祝荫</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3053619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三等奖</w:t>
            </w:r>
          </w:p>
        </w:tc>
      </w:tr>
      <w:tr w14:paraId="5DB03463">
        <w:tblPrEx>
          <w:tblCellMar>
            <w:top w:w="0" w:type="dxa"/>
            <w:left w:w="108" w:type="dxa"/>
            <w:bottom w:w="0" w:type="dxa"/>
            <w:right w:w="108" w:type="dxa"/>
          </w:tblCellMar>
        </w:tblPrEx>
        <w:trPr>
          <w:gridBefore w:val="1"/>
          <w:gridAfter w:val="1"/>
          <w:wBefore w:w="3" w:type="pct"/>
          <w:wAfter w:w="6" w:type="pct"/>
          <w:trHeight w:val="567"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0335289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SIRT4 通过调控氧化应激诱导的凋亡对糖尿病视网膜病变影响的研究</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269E27E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刘家祥</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71D1427A">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张冉</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王超峰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石嘉澍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岳舒萌</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274CCF53">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张旭</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5ED92D42">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三等奖</w:t>
            </w:r>
          </w:p>
        </w:tc>
      </w:tr>
      <w:tr w14:paraId="08068254">
        <w:tblPrEx>
          <w:tblCellMar>
            <w:top w:w="0" w:type="dxa"/>
            <w:left w:w="108" w:type="dxa"/>
            <w:bottom w:w="0" w:type="dxa"/>
            <w:right w:w="108" w:type="dxa"/>
          </w:tblCellMar>
        </w:tblPrEx>
        <w:trPr>
          <w:gridBefore w:val="1"/>
          <w:gridAfter w:val="1"/>
          <w:wBefore w:w="3" w:type="pct"/>
          <w:wAfter w:w="6" w:type="pct"/>
          <w:trHeight w:val="34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2C27CD2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靶向Trim65抑制内膜新生：心血管疾病再狭窄治疗的潜在新策略</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251EB43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张雯婷</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5BA048A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王凯煦</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邓文卓</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魏文涵</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陈卓</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5FBE93D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姜玫秀</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1448D94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三等奖</w:t>
            </w:r>
          </w:p>
        </w:tc>
      </w:tr>
      <w:tr w14:paraId="7EBE2E28">
        <w:tblPrEx>
          <w:tblCellMar>
            <w:top w:w="0" w:type="dxa"/>
            <w:left w:w="108" w:type="dxa"/>
            <w:bottom w:w="0" w:type="dxa"/>
            <w:right w:w="108" w:type="dxa"/>
          </w:tblCellMar>
        </w:tblPrEx>
        <w:trPr>
          <w:gridBefore w:val="1"/>
          <w:gridAfter w:val="1"/>
          <w:wBefore w:w="3" w:type="pct"/>
          <w:wAfter w:w="6" w:type="pct"/>
          <w:trHeight w:val="34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40B4A2D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PANX1通过调节子宫内膜基质细胞ATP外流影响复发性植入失败患者子宫内膜蜕膜化的机制研究</w:t>
            </w:r>
          </w:p>
        </w:tc>
        <w:tc>
          <w:tcPr>
            <w:tcW w:w="596" w:type="pct"/>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59EFA9B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HAFZA SIMRAN ALI</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00" w:fill="auto"/>
            <w:noWrap/>
            <w:vAlign w:val="center"/>
          </w:tcPr>
          <w:p w14:paraId="65A4C74E">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AROOSAHANIF</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ASMAKHAN</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BIBINOORULAIN</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ABBASIREEMFAZAL</w:t>
            </w:r>
          </w:p>
        </w:tc>
        <w:tc>
          <w:tcPr>
            <w:tcW w:w="796" w:type="pct"/>
            <w:gridSpan w:val="3"/>
            <w:tcBorders>
              <w:top w:val="single" w:color="auto" w:sz="4" w:space="0"/>
              <w:left w:val="single" w:color="000000" w:sz="4" w:space="0"/>
              <w:bottom w:val="single" w:color="auto" w:sz="4" w:space="0"/>
              <w:right w:val="single" w:color="000000" w:sz="4" w:space="0"/>
            </w:tcBorders>
            <w:shd w:val="clear" w:color="FFFF00" w:fill="auto"/>
            <w:noWrap/>
            <w:vAlign w:val="center"/>
          </w:tcPr>
          <w:p w14:paraId="73F5292F">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潘泽政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涂硕</w:t>
            </w:r>
          </w:p>
        </w:tc>
        <w:tc>
          <w:tcPr>
            <w:tcW w:w="620" w:type="pct"/>
            <w:gridSpan w:val="2"/>
            <w:tcBorders>
              <w:top w:val="single" w:color="auto" w:sz="4" w:space="0"/>
              <w:left w:val="single" w:color="000000" w:sz="4" w:space="0"/>
              <w:bottom w:val="single" w:color="auto" w:sz="4" w:space="0"/>
              <w:right w:val="single" w:color="000000" w:sz="4" w:space="0"/>
            </w:tcBorders>
            <w:shd w:val="clear" w:color="FFFF00" w:fill="auto"/>
            <w:noWrap/>
            <w:vAlign w:val="center"/>
          </w:tcPr>
          <w:p w14:paraId="08073C7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三等奖</w:t>
            </w:r>
          </w:p>
        </w:tc>
      </w:tr>
      <w:tr w14:paraId="2B8B1ADF">
        <w:tblPrEx>
          <w:tblCellMar>
            <w:top w:w="0" w:type="dxa"/>
            <w:left w:w="108" w:type="dxa"/>
            <w:bottom w:w="0" w:type="dxa"/>
            <w:right w:w="108" w:type="dxa"/>
          </w:tblCellMar>
        </w:tblPrEx>
        <w:trPr>
          <w:gridBefore w:val="1"/>
          <w:gridAfter w:val="1"/>
          <w:wBefore w:w="3" w:type="pct"/>
          <w:wAfter w:w="6" w:type="pct"/>
          <w:trHeight w:val="781" w:hRule="atLeast"/>
        </w:trPr>
        <w:tc>
          <w:tcPr>
            <w:tcW w:w="4990" w:type="pct"/>
            <w:gridSpan w:val="10"/>
            <w:tcBorders>
              <w:top w:val="nil"/>
              <w:left w:val="nil"/>
              <w:bottom w:val="nil"/>
              <w:right w:val="nil"/>
            </w:tcBorders>
            <w:shd w:val="clear" w:color="auto" w:fill="auto"/>
            <w:noWrap/>
            <w:vAlign w:val="center"/>
          </w:tcPr>
          <w:p w14:paraId="70D811FE">
            <w:pPr>
              <w:widowControl/>
              <w:spacing w:beforeLines="50" w:afterLines="50"/>
              <w:jc w:val="center"/>
              <w:textAlignment w:val="center"/>
              <w:rPr>
                <w:rFonts w:ascii="宋体" w:hAnsi="宋体" w:cs="宋体"/>
                <w:b/>
                <w:bCs/>
                <w:color w:val="000000"/>
                <w:sz w:val="28"/>
                <w:szCs w:val="28"/>
              </w:rPr>
            </w:pPr>
            <w:r>
              <w:rPr>
                <w:rFonts w:hint="eastAsia" w:ascii="仿宋" w:hAnsi="仿宋" w:eastAsia="仿宋"/>
                <w:b/>
                <w:bCs/>
                <w:color w:val="000000"/>
                <w:kern w:val="0"/>
                <w:sz w:val="28"/>
                <w:szCs w:val="28"/>
              </w:rPr>
              <w:t>创新研究（基础临床赛道）</w:t>
            </w:r>
          </w:p>
        </w:tc>
      </w:tr>
      <w:tr w14:paraId="1A1D383D">
        <w:tblPrEx>
          <w:tblCellMar>
            <w:top w:w="0" w:type="dxa"/>
            <w:left w:w="108" w:type="dxa"/>
            <w:bottom w:w="0" w:type="dxa"/>
            <w:right w:w="108" w:type="dxa"/>
          </w:tblCellMar>
        </w:tblPrEx>
        <w:trPr>
          <w:gridBefore w:val="1"/>
          <w:gridAfter w:val="1"/>
          <w:wBefore w:w="3" w:type="pct"/>
          <w:wAfter w:w="6" w:type="pct"/>
          <w:trHeight w:val="1163"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8840">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685D5">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135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810E">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796" w:type="pct"/>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5FC73824">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4984C9AC">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620"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5F7EAD47">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57E127A1">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auto" w:sz="4" w:space="0"/>
              <w:right w:val="single" w:color="000000" w:sz="4" w:space="0"/>
            </w:tcBorders>
            <w:shd w:val="clear" w:color="FFFFFF" w:fill="FFFFFF"/>
            <w:noWrap/>
            <w:vAlign w:val="center"/>
          </w:tcPr>
          <w:p w14:paraId="6E651CF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在机械应力诱导的骨性关节炎软骨退变中的作用及机制研究</w:t>
            </w:r>
          </w:p>
        </w:tc>
        <w:tc>
          <w:tcPr>
            <w:tcW w:w="596" w:type="pct"/>
            <w:tcBorders>
              <w:top w:val="single" w:color="000000" w:sz="4" w:space="0"/>
              <w:left w:val="single" w:color="000000" w:sz="4" w:space="0"/>
              <w:bottom w:val="single" w:color="auto" w:sz="4" w:space="0"/>
              <w:right w:val="single" w:color="000000" w:sz="4" w:space="0"/>
            </w:tcBorders>
            <w:shd w:val="clear" w:color="FFFFFF" w:fill="FFFFFF"/>
            <w:noWrap/>
            <w:vAlign w:val="center"/>
          </w:tcPr>
          <w:p w14:paraId="343EC30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邓瑜飞</w:t>
            </w:r>
          </w:p>
        </w:tc>
        <w:tc>
          <w:tcPr>
            <w:tcW w:w="1352" w:type="pct"/>
            <w:gridSpan w:val="2"/>
            <w:tcBorders>
              <w:top w:val="single" w:color="000000" w:sz="4" w:space="0"/>
              <w:left w:val="single" w:color="000000" w:sz="4" w:space="0"/>
              <w:bottom w:val="single" w:color="auto" w:sz="4" w:space="0"/>
              <w:right w:val="single" w:color="auto" w:sz="4" w:space="0"/>
            </w:tcBorders>
            <w:shd w:val="clear" w:color="FFFFFF" w:fill="FFFFFF"/>
            <w:noWrap/>
            <w:vAlign w:val="center"/>
          </w:tcPr>
          <w:p w14:paraId="0D0AA1E4">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张怡青</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钟雨霏</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郭彬婕</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余婧</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0184F4A7">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潘泽政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李蕾</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660D7D">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6984C761">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auto" w:sz="4" w:space="0"/>
              <w:left w:val="single" w:color="auto" w:sz="4" w:space="0"/>
              <w:bottom w:val="single" w:color="auto" w:sz="4" w:space="0"/>
              <w:right w:val="single" w:color="000000" w:sz="4" w:space="0"/>
            </w:tcBorders>
            <w:shd w:val="clear" w:color="FFFFFF" w:fill="FFFFFF"/>
            <w:noWrap/>
            <w:vAlign w:val="center"/>
          </w:tcPr>
          <w:p w14:paraId="7CCE73A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AMPK通过线粒体外膜蛋白VDAC1调控巨噬细胞铁死亡抑制创伤性异位骨化的作用机制</w:t>
            </w:r>
          </w:p>
        </w:tc>
        <w:tc>
          <w:tcPr>
            <w:tcW w:w="596" w:type="pct"/>
            <w:tcBorders>
              <w:top w:val="single" w:color="auto" w:sz="4" w:space="0"/>
              <w:left w:val="single" w:color="000000" w:sz="4" w:space="0"/>
              <w:bottom w:val="single" w:color="auto" w:sz="4" w:space="0"/>
              <w:right w:val="single" w:color="000000" w:sz="4" w:space="0"/>
            </w:tcBorders>
            <w:shd w:val="clear" w:color="FFFFFF" w:fill="FFFFFF"/>
            <w:noWrap/>
            <w:vAlign w:val="center"/>
          </w:tcPr>
          <w:p w14:paraId="1E5535C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邵易晴</w:t>
            </w:r>
          </w:p>
        </w:tc>
        <w:tc>
          <w:tcPr>
            <w:tcW w:w="1352" w:type="pct"/>
            <w:gridSpan w:val="2"/>
            <w:tcBorders>
              <w:top w:val="single" w:color="auto" w:sz="4" w:space="0"/>
              <w:left w:val="single" w:color="000000" w:sz="4" w:space="0"/>
              <w:bottom w:val="single" w:color="auto" w:sz="4" w:space="0"/>
              <w:right w:val="single" w:color="auto" w:sz="4" w:space="0"/>
            </w:tcBorders>
            <w:shd w:val="clear" w:color="FFFFFF" w:fill="FFFFFF"/>
            <w:noWrap/>
            <w:vAlign w:val="center"/>
          </w:tcPr>
          <w:p w14:paraId="2B9148B0">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朱柳烨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汪灵</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胡安新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李家欣</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2DBD4A04">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林辉</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C0A07F">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057BFAC3">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auto" w:sz="4" w:space="0"/>
              <w:left w:val="single" w:color="000000" w:sz="4" w:space="0"/>
              <w:bottom w:val="single" w:color="000000" w:sz="4" w:space="0"/>
              <w:right w:val="single" w:color="000000" w:sz="4" w:space="0"/>
            </w:tcBorders>
            <w:shd w:val="clear" w:color="FFFFFF" w:fill="FFFFFF"/>
            <w:noWrap/>
            <w:vAlign w:val="center"/>
          </w:tcPr>
          <w:p w14:paraId="02A55BA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牛磺熊去氧胆酸对辐射致肠粘膜损伤的保护作用及其机制</w:t>
            </w:r>
          </w:p>
        </w:tc>
        <w:tc>
          <w:tcPr>
            <w:tcW w:w="596" w:type="pct"/>
            <w:tcBorders>
              <w:top w:val="single" w:color="auto" w:sz="4" w:space="0"/>
              <w:left w:val="single" w:color="000000" w:sz="4" w:space="0"/>
              <w:bottom w:val="single" w:color="000000" w:sz="4" w:space="0"/>
              <w:right w:val="single" w:color="000000" w:sz="4" w:space="0"/>
            </w:tcBorders>
            <w:shd w:val="clear" w:color="FFFFFF" w:fill="FFFFFF"/>
            <w:noWrap/>
            <w:vAlign w:val="center"/>
          </w:tcPr>
          <w:p w14:paraId="1A9655F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张珺</w:t>
            </w:r>
          </w:p>
        </w:tc>
        <w:tc>
          <w:tcPr>
            <w:tcW w:w="1352" w:type="pct"/>
            <w:gridSpan w:val="2"/>
            <w:tcBorders>
              <w:top w:val="single" w:color="auto" w:sz="4" w:space="0"/>
              <w:left w:val="single" w:color="000000" w:sz="4" w:space="0"/>
              <w:bottom w:val="single" w:color="000000" w:sz="4" w:space="0"/>
              <w:right w:val="single" w:color="auto" w:sz="4" w:space="0"/>
            </w:tcBorders>
            <w:shd w:val="clear" w:color="FFFFFF" w:fill="FFFFFF"/>
            <w:noWrap/>
            <w:vAlign w:val="center"/>
          </w:tcPr>
          <w:p w14:paraId="30BF2ED3">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黄春霞</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杨轩宇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李正阳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王晴园</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5A34A63A">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曾慧红</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邓胜昌</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46EA8B">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5276B8D6">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EC0977">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SMS2通过NPC1调控巨噬细胞溶酶体活性对动脉粥样硬化影响的研究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AD1A76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詹辰曦</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2697F885">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李昊颖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刘思成</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赵许烨</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38D368C2">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颜念龙</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149AD9">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4176E740">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5EA315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基于记忆 B 细胞平台的狂犬病毒 GP 蛋白全人源单克隆抗体筛选与鉴定</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2D9AF0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何艳旎</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6B44313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刘晔</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李周舟</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杨海华</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6C14003C">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胡萍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尧志峰</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4A4718">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6ECFACDE">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A31070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MybpC1与Flnc直接作用促进线粒体自噬延缓骨关节炎的机制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1D66CCF">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丁润松</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6E7CD6B7">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钟佳俊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李霖炜</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姚思丞</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7137AA65">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刘序强</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232723">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163486C3">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F1C171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miR-29ab1在肥胖与糖尿病的调控过程中的作用研究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3D09B5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卢思怡</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5A2A9B51">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陈威</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乐佳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谢宜静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熊奕雅</w:t>
            </w:r>
          </w:p>
        </w:tc>
        <w:tc>
          <w:tcPr>
            <w:tcW w:w="796" w:type="pct"/>
            <w:gridSpan w:val="3"/>
            <w:tcBorders>
              <w:top w:val="single" w:color="auto" w:sz="4" w:space="0"/>
              <w:left w:val="single" w:color="auto" w:sz="4" w:space="0"/>
              <w:right w:val="single" w:color="auto" w:sz="4" w:space="0"/>
            </w:tcBorders>
            <w:shd w:val="clear" w:color="FFFFFF" w:fill="FFFFFF"/>
            <w:noWrap/>
            <w:vAlign w:val="center"/>
          </w:tcPr>
          <w:p w14:paraId="0D30FF06">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张秀玲</w:t>
            </w:r>
          </w:p>
        </w:tc>
        <w:tc>
          <w:tcPr>
            <w:tcW w:w="620" w:type="pct"/>
            <w:gridSpan w:val="2"/>
            <w:tcBorders>
              <w:top w:val="single" w:color="auto" w:sz="4" w:space="0"/>
              <w:left w:val="single" w:color="auto" w:sz="4" w:space="0"/>
              <w:right w:val="single" w:color="auto" w:sz="4" w:space="0"/>
            </w:tcBorders>
            <w:shd w:val="clear" w:color="auto" w:fill="auto"/>
            <w:vAlign w:val="center"/>
          </w:tcPr>
          <w:p w14:paraId="5ACB86DA">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141D6FC9">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17B20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工程菌EcN-IFN-α2b通过调节NSG小鼠中JAK/STAT/cGAS/STING信号通路对人乳头瘤病毒的清除作用</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6BB54A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祁张华</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7E16CF06">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孙承棚</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桂佳纬</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张心一</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李凯一</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19174E1A">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陈廷涛</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253005">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53A29544">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946D9FF">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达格列净通过调节EGFR信号和靶向NCOA4介导的铁蛋白吞噬改善心肌缺血/再灌注损伤</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F17F9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谢贝贝</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63D6A27B">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吴剑波</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李嘉栩</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陈依婷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田子凡</w:t>
            </w:r>
          </w:p>
        </w:tc>
        <w:tc>
          <w:tcPr>
            <w:tcW w:w="796" w:type="pct"/>
            <w:gridSpan w:val="3"/>
            <w:tcBorders>
              <w:top w:val="single" w:color="auto" w:sz="4" w:space="0"/>
              <w:left w:val="single" w:color="auto" w:sz="4" w:space="0"/>
              <w:right w:val="single" w:color="auto" w:sz="4" w:space="0"/>
            </w:tcBorders>
            <w:shd w:val="clear" w:color="FFFFFF" w:fill="FFFFFF"/>
            <w:noWrap/>
            <w:vAlign w:val="center"/>
          </w:tcPr>
          <w:p w14:paraId="7D788647">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余鹏</w:t>
            </w:r>
          </w:p>
        </w:tc>
        <w:tc>
          <w:tcPr>
            <w:tcW w:w="620" w:type="pct"/>
            <w:gridSpan w:val="2"/>
            <w:tcBorders>
              <w:top w:val="single" w:color="auto" w:sz="4" w:space="0"/>
              <w:left w:val="single" w:color="auto" w:sz="4" w:space="0"/>
              <w:right w:val="single" w:color="auto" w:sz="4" w:space="0"/>
            </w:tcBorders>
            <w:shd w:val="clear" w:color="auto" w:fill="auto"/>
            <w:vAlign w:val="center"/>
          </w:tcPr>
          <w:p w14:paraId="66554625">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5B6848A7">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717C6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KAT2A-KSUC轴：解码颗粒细胞凋亡驱动卵巢衰老的分子开关</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97538C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汪梓航</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1F8AFC3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于雅婷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欧钟恺</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肖润汀</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苏华</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67B429AD">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郑莉萍</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009C1D">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367CB527">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33A37A5">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SDC1通过JAK-STAT2信号通路调控子宫肌瘤细胞生命周期</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E5C4F4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刘子青</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69C4CAA7">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贺睿珊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廖朗月</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皮俊翔</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6365B542">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邓欢</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周甜</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8286B7">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44EC5BAF">
        <w:tblPrEx>
          <w:tblCellMar>
            <w:top w:w="0" w:type="dxa"/>
            <w:left w:w="108" w:type="dxa"/>
            <w:bottom w:w="0" w:type="dxa"/>
            <w:right w:w="108" w:type="dxa"/>
          </w:tblCellMar>
        </w:tblPrEx>
        <w:trPr>
          <w:gridBefore w:val="1"/>
          <w:gridAfter w:val="1"/>
          <w:wBefore w:w="3" w:type="pct"/>
          <w:wAfter w:w="6" w:type="pct"/>
          <w:trHeight w:val="40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06F233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治疗人巨细胞病毒感染的全人源单克隆抗体的制备研究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4A3EA15">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周志昊</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14D4A55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梅嘉琪</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余滢滢</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肖绪情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张睿桐</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6A3483F7">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尧志峰</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DAF00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6B544193">
        <w:tblPrEx>
          <w:tblCellMar>
            <w:top w:w="0" w:type="dxa"/>
            <w:left w:w="108" w:type="dxa"/>
            <w:bottom w:w="0" w:type="dxa"/>
            <w:right w:w="108" w:type="dxa"/>
          </w:tblCellMar>
        </w:tblPrEx>
        <w:trPr>
          <w:gridBefore w:val="1"/>
          <w:gridAfter w:val="1"/>
          <w:wBefore w:w="3" w:type="pct"/>
          <w:wAfter w:w="6" w:type="pct"/>
          <w:trHeight w:val="627" w:hRule="atLeast"/>
        </w:trPr>
        <w:tc>
          <w:tcPr>
            <w:tcW w:w="4990" w:type="pct"/>
            <w:gridSpan w:val="10"/>
            <w:tcBorders>
              <w:top w:val="nil"/>
              <w:left w:val="nil"/>
              <w:bottom w:val="nil"/>
              <w:right w:val="nil"/>
            </w:tcBorders>
            <w:shd w:val="clear" w:color="auto" w:fill="auto"/>
            <w:noWrap/>
            <w:vAlign w:val="center"/>
          </w:tcPr>
          <w:p w14:paraId="734885A6">
            <w:pPr>
              <w:widowControl/>
              <w:spacing w:beforeLines="50" w:afterLines="50"/>
              <w:jc w:val="center"/>
              <w:textAlignment w:val="center"/>
              <w:rPr>
                <w:rFonts w:ascii="宋体" w:hAnsi="宋体" w:cs="宋体"/>
                <w:b/>
                <w:bCs/>
                <w:color w:val="000000"/>
                <w:sz w:val="32"/>
                <w:szCs w:val="32"/>
              </w:rPr>
            </w:pPr>
            <w:r>
              <w:rPr>
                <w:rFonts w:hint="eastAsia" w:ascii="仿宋" w:hAnsi="仿宋" w:eastAsia="仿宋"/>
                <w:b/>
                <w:bCs/>
                <w:color w:val="000000"/>
                <w:kern w:val="0"/>
                <w:sz w:val="28"/>
                <w:szCs w:val="28"/>
              </w:rPr>
              <w:t>实验设计（基础临床赛道）</w:t>
            </w:r>
          </w:p>
        </w:tc>
      </w:tr>
      <w:tr w14:paraId="2B940798">
        <w:tblPrEx>
          <w:tblCellMar>
            <w:top w:w="0" w:type="dxa"/>
            <w:left w:w="108" w:type="dxa"/>
            <w:bottom w:w="0" w:type="dxa"/>
            <w:right w:w="108" w:type="dxa"/>
          </w:tblCellMar>
        </w:tblPrEx>
        <w:trPr>
          <w:gridBefore w:val="1"/>
          <w:gridAfter w:val="1"/>
          <w:wBefore w:w="3" w:type="pct"/>
          <w:wAfter w:w="6" w:type="pct"/>
          <w:trHeight w:val="1058" w:hRule="atLeast"/>
        </w:trPr>
        <w:tc>
          <w:tcPr>
            <w:tcW w:w="1623"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1FE582D5">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596"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756F4AE">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1352"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1CC6D50B">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796" w:type="pct"/>
            <w:gridSpan w:val="3"/>
            <w:tcBorders>
              <w:top w:val="single" w:color="000000" w:sz="4" w:space="0"/>
              <w:left w:val="single" w:color="000000" w:sz="4" w:space="0"/>
              <w:bottom w:val="single" w:color="auto" w:sz="4" w:space="0"/>
              <w:right w:val="single" w:color="000000" w:sz="4" w:space="0"/>
            </w:tcBorders>
            <w:shd w:val="clear" w:color="auto" w:fill="auto"/>
            <w:noWrap/>
            <w:vAlign w:val="center"/>
          </w:tcPr>
          <w:p w14:paraId="6491A043">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1C505E24">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620" w:type="pct"/>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7F2DB062">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02B0EED6">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9C71B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芦丁经“乳酸杆菌-牛磺熊去氧胆酸”轴调控破骨细胞-成骨细胞偶联改善去卵巢小鼠骨质疏松的机制研究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3351F50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唐政</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4760FCBC">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尹含笑</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张伟琳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赖瑜萍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黎想</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FA84B11">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徐宏</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黄永红</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F13988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45FD2902">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30E8F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SERPINB7：一种新型的食管癌预后生物标志物</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6EC3436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狄泽群</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11091626">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张硕桐</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张齐励</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吴奕锦</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张嘉桐</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A88229D">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陈红平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龙飞</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3CBD24">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52CEA467">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60672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DUB-IN-2通过K63泛素化稳定PD-L1增强其单抗对宫颈癌疗效的机制研究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37B3CE8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孔秋寒</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34C81257">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李子畅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黄海强</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贺雨菲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刘夏璐</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B6EADF">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潘泽政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芦海姗</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057B53">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2B16F040">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798C39">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6-磷酸葡萄糖酸脱氢酶通过磷酸化修饰调控肝癌氧化应激抵抗的机制研究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4A946D8A">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胡泉亮</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084F1887">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宋炎卓</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罗昭伟</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张雨</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2E3B10B">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边学利</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7EC0E38">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458460CD">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C6760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基于PBMC拉曼光谱与深度学习融合的结直肠癌无创筛查体系构建</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11DBF95F">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徐铭辰</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629E5DF8">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闫锡文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张贝宁</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李子佳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刘宇航</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69E742">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王小中</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5FE870">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2E46F1A6">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AE3E53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KRT17在肝癌发生发展中的作用及机制研究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5702D5D8">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廖梦源</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328E3C9D">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林芝媛</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黄义杰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张晟源</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张兆麟</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FFAAD8">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涂硕</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严晓华</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15F0B9D">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717EA4B1">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43ECE6">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靶向伏隔核GABAB受体的CART肽治疗甲基苯丙胺诱导成瘾-焦虑共病机制研究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12421F8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鄢明珠</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56FF91B7">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于卓轩</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代琴</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徐渝深</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李泽同</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E385EA">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胡贞贞</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380C3E">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2C88D377">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6A127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蛇源 PLA2 抑制剂基因改组、淘筛及抗蛇毒活性研究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214502C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曾艺钦</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1B0E8726">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石晓</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徐瑶瑶</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彭语探</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88AA348">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黄春洪</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曾婷</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E0DE94">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4FC6A09B">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1247A46">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基于空间多组学探究衰老对阿尔茨海默免疫治疗的影响</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2C3A87F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蔡明修</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342889DF">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刘盈汛</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胡楷恒</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刘欣瑞</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张思怡</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18219A">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章峰</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31D321E">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383AD125">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4D412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BIRC3介导骨关节炎软骨细胞亚群转化的机制研究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35CB078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张席宇</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16BBC01B">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宋家玥</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邹思语</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高艺硕</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41C4B2F">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李光昊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袁熙</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FE986B">
            <w:pPr>
              <w:jc w:val="center"/>
              <w:rPr>
                <w:rFonts w:hint="eastAsia" w:ascii="仿宋" w:hAnsi="仿宋" w:eastAsia="仿宋" w:cs="仿宋"/>
                <w:color w:val="000000"/>
                <w:sz w:val="24"/>
                <w:szCs w:val="24"/>
              </w:rPr>
            </w:pPr>
          </w:p>
          <w:p w14:paraId="203582BE">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p w14:paraId="06A18ED8">
            <w:pPr>
              <w:jc w:val="center"/>
              <w:rPr>
                <w:rFonts w:hint="eastAsia" w:ascii="仿宋" w:hAnsi="仿宋" w:eastAsia="仿宋" w:cs="仿宋"/>
                <w:color w:val="000000"/>
                <w:sz w:val="24"/>
                <w:szCs w:val="24"/>
              </w:rPr>
            </w:pPr>
          </w:p>
        </w:tc>
      </w:tr>
      <w:tr w14:paraId="50CEC8A0">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154F1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探究膳食色氨酸摄入在肿瘤免疫治疗相关不良事件中的作用</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093CA00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刘诗曼</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0A9B71C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王光莹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徐逸舟</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彭芊越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蔡明修</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79BB2B">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魏丽雯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杨晓红</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E87F14">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3C278B1D">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E9D5CF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巨噬细胞TRIM59对动脉粥样硬化的抑制作用及其作用机制的研究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28BA42A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陈镜先</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1C263DD7">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陆紫阳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王欣婷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柳荧</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780B5A">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姜玫秀</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CA93BB">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52B4B70E">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D1BA8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肺源NAA驱动小胶质细胞脂质堆积:基于全身免疫视角的帕金森病早期生物标志物及机制探索</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06C7B85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朱鹏皓</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7CF69A5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卓越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万豪</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汪悦涵</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朱禹潜</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E4EEEB">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卢国辉</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张文华</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751387">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1020A674">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BE756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USP10通过介导B7-H4去泛素化驱动胶质瘤免疫逃逸的分子机制研究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6061B73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黄乐</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7EC91008">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詹建豪</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丁紫俊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余思斯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唐梦晗</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FE6550">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黄凯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祝新根</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09CA55">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39270C1A">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0E15DA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Kcnma1/PI3K/AKT轴在创伤性异位骨化中的作用及二甲双胍保护机制探究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3A44ACC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王颖卓</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5A130A4E">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吕珍珠</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高源</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王亚渠</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51B05B">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林辉</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5AC989">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1EDB3B7C">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C8034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星状神经节P2Y6受体介导巨噬细胞-神经元交互作用在心肌缺血后交感兴奋中的作用研究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573D39A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欧阳雨晴</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73B7FB65">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高斯雨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余佳玲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陈思宏</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FD4EA5">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刘双梅</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7E0F0D">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6354D4A4">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B2E1F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NPSR1介导cAMP-PKA-C/EBPβ轴调控MMP3促进胃癌进展的功能及机制研究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483AEF20">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汪娴</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7CDC29A9">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王子悦</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杨铠瑜</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陈涵逸</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D4A663">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喻斌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马梅</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430EF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44010B29">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AC32A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神经小胶质细胞膜包覆MOF-818联合血红蛋白治疗缺血性脑卒中</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433F23FF">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周嘉新</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514DFDA2">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段彦西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周炼夏</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杨眉悦</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CABE6B">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李彦雨</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9DBAE67">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61DA8A6B">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FE16F5">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靶向线粒体自噬-铁死亡调控轴：白藜芦醇对抗心肌缺血/再灌注损伤的机制研究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70C9EA5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左清</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3A614471">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刘彦杰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余兴权</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于景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刘航轩</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BCBE07">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廖章萍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周颖</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0B674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43D9E65F">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3DD73D9">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MST4/β-catenin对卵巢颗粒细胞自噬的调节作用及</w:t>
            </w:r>
          </w:p>
          <w:p w14:paraId="107BDB13">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异常表达与多囊卵巢综合征的关系研究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6EBED94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闵浩轩</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62B89AD5">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陈怡霖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刘智</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周慧琴</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周阳</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86EDF3">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张春平</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E1A0DC">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00476561">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ED2E39">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尿石素A对电离辐射皮肤损伤的保护及机制研究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596342C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杨欣然</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15BCFA14">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徐宜薇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邹韵菲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赵睿汝</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A09945">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曾慧红</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A80443">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1E3DC062">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744FF1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“胶” 踏新程——多功能水凝胶开启糖尿病严重肢体缺血的神经血管共修复新征程</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4F55216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林子越</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6955062F">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张译文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孙艺华</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朱妍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尹鑫阳</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40F360F">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聂瑞筠</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E42BEA">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08B84E95">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B9C25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Agrin与基质金属蛋白酶MMP2结合促进HCC血管生成拟态形成的分子机制研究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36BED53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赵淳熙</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68DFDBA4">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王琪翔</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陈子强</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张译丹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傅书榕</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5E492B">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鄢敏</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536518">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30332753">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F63635">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姜黄素联合羊膜提取物治疗骨关节炎的实验研究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4977D279">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陈远想</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41D8EAA9">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曾嘉怡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曾紫叶</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沈宇晨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陈佳靖</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CA3337">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刘仁平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雷洋</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526B4F">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11E6FEF8">
        <w:tblPrEx>
          <w:tblCellMar>
            <w:top w:w="0" w:type="dxa"/>
            <w:left w:w="108" w:type="dxa"/>
            <w:bottom w:w="0" w:type="dxa"/>
            <w:right w:w="108" w:type="dxa"/>
          </w:tblCellMar>
        </w:tblPrEx>
        <w:trPr>
          <w:gridBefore w:val="1"/>
          <w:gridAfter w:val="1"/>
          <w:wBefore w:w="3" w:type="pct"/>
          <w:wAfter w:w="6" w:type="pct"/>
          <w:trHeight w:val="378" w:hRule="atLeast"/>
        </w:trPr>
        <w:tc>
          <w:tcPr>
            <w:tcW w:w="1623"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D3D647">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miR-431-3p调控Htra3、CD209促进DC肿瘤疫苗治疗效果研究</w:t>
            </w:r>
          </w:p>
        </w:tc>
        <w:tc>
          <w:tcPr>
            <w:tcW w:w="596" w:type="pct"/>
            <w:tcBorders>
              <w:top w:val="single" w:color="auto" w:sz="4" w:space="0"/>
              <w:left w:val="single" w:color="auto" w:sz="4" w:space="0"/>
              <w:bottom w:val="single" w:color="auto" w:sz="4" w:space="0"/>
              <w:right w:val="single" w:color="auto" w:sz="4" w:space="0"/>
            </w:tcBorders>
            <w:shd w:val="clear" w:color="FFFFFF" w:fill="FFFFFF"/>
            <w:noWrap/>
            <w:vAlign w:val="center"/>
          </w:tcPr>
          <w:p w14:paraId="60904EF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吴炫煌</w:t>
            </w:r>
          </w:p>
        </w:tc>
        <w:tc>
          <w:tcPr>
            <w:tcW w:w="1352" w:type="pct"/>
            <w:gridSpan w:val="2"/>
            <w:tcBorders>
              <w:top w:val="single" w:color="auto" w:sz="4" w:space="0"/>
              <w:left w:val="single" w:color="auto" w:sz="4" w:space="0"/>
              <w:bottom w:val="single" w:color="auto" w:sz="4" w:space="0"/>
              <w:right w:val="single" w:color="auto" w:sz="4" w:space="0"/>
            </w:tcBorders>
            <w:shd w:val="clear" w:color="FFFFFF" w:fill="FFFFFF"/>
            <w:noWrap/>
            <w:vAlign w:val="center"/>
          </w:tcPr>
          <w:p w14:paraId="4480D509">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王一典</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邓宗敬</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宋雨泽</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祝培文</w:t>
            </w:r>
          </w:p>
        </w:tc>
        <w:tc>
          <w:tcPr>
            <w:tcW w:w="796"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4AD64B">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张萌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汪华杰</w:t>
            </w:r>
          </w:p>
        </w:tc>
        <w:tc>
          <w:tcPr>
            <w:tcW w:w="62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92E1FD">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0B4519FF">
        <w:tblPrEx>
          <w:tblCellMar>
            <w:top w:w="0" w:type="dxa"/>
            <w:left w:w="108" w:type="dxa"/>
            <w:bottom w:w="0" w:type="dxa"/>
            <w:right w:w="108" w:type="dxa"/>
          </w:tblCellMar>
        </w:tblPrEx>
        <w:trPr>
          <w:gridBefore w:val="1"/>
          <w:gridAfter w:val="2"/>
          <w:wBefore w:w="3" w:type="pct"/>
          <w:wAfter w:w="111" w:type="pct"/>
          <w:trHeight w:val="680" w:hRule="atLeast"/>
        </w:trPr>
        <w:tc>
          <w:tcPr>
            <w:tcW w:w="4885" w:type="pct"/>
            <w:gridSpan w:val="9"/>
            <w:tcBorders>
              <w:top w:val="single" w:color="auto" w:sz="4" w:space="0"/>
              <w:left w:val="nil"/>
              <w:bottom w:val="nil"/>
              <w:right w:val="nil"/>
            </w:tcBorders>
            <w:shd w:val="clear" w:color="auto" w:fill="auto"/>
            <w:noWrap/>
            <w:vAlign w:val="center"/>
          </w:tcPr>
          <w:p w14:paraId="559DADE5">
            <w:pPr>
              <w:widowControl/>
              <w:spacing w:beforeLines="50" w:afterLines="50"/>
              <w:jc w:val="center"/>
              <w:textAlignment w:val="center"/>
              <w:rPr>
                <w:rFonts w:ascii="宋体" w:hAnsi="宋体" w:cs="宋体"/>
                <w:b/>
                <w:bCs/>
                <w:color w:val="000000"/>
                <w:sz w:val="32"/>
                <w:szCs w:val="32"/>
              </w:rPr>
            </w:pPr>
            <w:r>
              <w:rPr>
                <w:rFonts w:hint="eastAsia" w:ascii="仿宋" w:hAnsi="仿宋" w:eastAsia="仿宋"/>
                <w:b/>
                <w:bCs/>
                <w:color w:val="000000"/>
                <w:kern w:val="0"/>
                <w:sz w:val="28"/>
                <w:szCs w:val="28"/>
              </w:rPr>
              <w:t>交叉学科赛道</w:t>
            </w:r>
          </w:p>
        </w:tc>
      </w:tr>
      <w:tr w14:paraId="73F063EA">
        <w:tblPrEx>
          <w:tblCellMar>
            <w:top w:w="0" w:type="dxa"/>
            <w:left w:w="108" w:type="dxa"/>
            <w:bottom w:w="0" w:type="dxa"/>
            <w:right w:w="108" w:type="dxa"/>
          </w:tblCellMar>
        </w:tblPrEx>
        <w:trPr>
          <w:gridBefore w:val="1"/>
          <w:gridAfter w:val="2"/>
          <w:wBefore w:w="3" w:type="pct"/>
          <w:wAfter w:w="111" w:type="pct"/>
          <w:trHeight w:val="408"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874D">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5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0DB3">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135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6DD4">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79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2409">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0C73EF17">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5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AD05">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731C5934">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28C7D37">
            <w:pPr>
              <w:widowControl/>
              <w:jc w:val="center"/>
              <w:textAlignment w:val="center"/>
              <w:rPr>
                <w:rFonts w:hint="eastAsia" w:ascii="仿宋" w:hAnsi="仿宋" w:eastAsia="仿宋" w:cs="仿宋"/>
                <w:b/>
                <w:color w:val="000000"/>
                <w:kern w:val="0"/>
                <w:sz w:val="24"/>
                <w:szCs w:val="24"/>
              </w:rPr>
            </w:pPr>
            <w:r>
              <w:rPr>
                <w:rFonts w:hint="eastAsia" w:ascii="仿宋" w:hAnsi="仿宋" w:eastAsia="仿宋" w:cs="仿宋"/>
                <w:b w:val="0"/>
                <w:bCs/>
                <w:color w:val="000000"/>
                <w:kern w:val="0"/>
                <w:sz w:val="24"/>
                <w:szCs w:val="24"/>
              </w:rPr>
              <w:t>双靶向药物递送系统调控破骨-软骨稳态促进软骨修复的研究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B721808">
            <w:pPr>
              <w:widowControl/>
              <w:jc w:val="center"/>
              <w:textAlignment w:val="center"/>
              <w:rPr>
                <w:rFonts w:hint="eastAsia" w:ascii="仿宋" w:hAnsi="仿宋" w:eastAsia="仿宋" w:cs="仿宋"/>
                <w:b w:val="0"/>
                <w:bCs/>
                <w:color w:val="000000"/>
                <w:kern w:val="0"/>
                <w:sz w:val="24"/>
                <w:szCs w:val="24"/>
              </w:rPr>
            </w:pPr>
            <w:r>
              <w:rPr>
                <w:rFonts w:hint="eastAsia" w:ascii="仿宋" w:hAnsi="仿宋" w:eastAsia="仿宋" w:cs="仿宋"/>
                <w:b w:val="0"/>
                <w:bCs/>
                <w:color w:val="000000"/>
                <w:kern w:val="0"/>
                <w:sz w:val="24"/>
                <w:szCs w:val="24"/>
              </w:rPr>
              <w:t>邱亚慧</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B45C2C">
            <w:pPr>
              <w:widowControl/>
              <w:jc w:val="center"/>
              <w:textAlignment w:val="center"/>
              <w:rPr>
                <w:rFonts w:hint="eastAsia" w:ascii="仿宋" w:hAnsi="仿宋" w:eastAsia="仿宋" w:cs="仿宋"/>
                <w:b/>
                <w:color w:val="000000"/>
                <w:kern w:val="0"/>
                <w:sz w:val="24"/>
                <w:szCs w:val="24"/>
                <w:lang w:eastAsia="zh-CN"/>
              </w:rPr>
            </w:pPr>
            <w:r>
              <w:rPr>
                <w:rFonts w:hint="eastAsia" w:ascii="仿宋" w:hAnsi="仿宋" w:eastAsia="仿宋" w:cs="仿宋"/>
                <w:color w:val="000000"/>
                <w:kern w:val="0"/>
                <w:sz w:val="24"/>
                <w:szCs w:val="24"/>
              </w:rPr>
              <w:t>王忆青</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艾心</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江品慧</w:t>
            </w:r>
          </w:p>
        </w:tc>
        <w:tc>
          <w:tcPr>
            <w:tcW w:w="796" w:type="pct"/>
            <w:gridSpan w:val="3"/>
            <w:tcBorders>
              <w:top w:val="single" w:color="000000" w:sz="4" w:space="0"/>
              <w:left w:val="single" w:color="000000" w:sz="4" w:space="0"/>
              <w:right w:val="single" w:color="000000" w:sz="4" w:space="0"/>
            </w:tcBorders>
            <w:shd w:val="clear" w:color="FFFFFF" w:fill="FFFFFF"/>
            <w:noWrap/>
            <w:vAlign w:val="center"/>
          </w:tcPr>
          <w:p w14:paraId="47BBEF03">
            <w:pPr>
              <w:jc w:val="center"/>
              <w:rPr>
                <w:rFonts w:hint="eastAsia" w:ascii="仿宋" w:hAnsi="仿宋" w:eastAsia="仿宋" w:cs="仿宋"/>
                <w:b w:val="0"/>
                <w:bCs/>
                <w:color w:val="000000"/>
                <w:sz w:val="24"/>
                <w:szCs w:val="24"/>
                <w:lang w:eastAsia="zh-CN"/>
              </w:rPr>
            </w:pPr>
            <w:r>
              <w:rPr>
                <w:rFonts w:hint="eastAsia" w:ascii="仿宋" w:hAnsi="仿宋" w:eastAsia="仿宋" w:cs="仿宋"/>
                <w:color w:val="000000"/>
                <w:kern w:val="0"/>
                <w:sz w:val="24"/>
                <w:szCs w:val="24"/>
              </w:rPr>
              <w:t>袁熙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李光昊</w:t>
            </w:r>
          </w:p>
        </w:tc>
        <w:tc>
          <w:tcPr>
            <w:tcW w:w="516" w:type="pct"/>
            <w:tcBorders>
              <w:top w:val="single" w:color="000000" w:sz="4" w:space="0"/>
              <w:left w:val="single" w:color="000000" w:sz="4" w:space="0"/>
              <w:right w:val="single" w:color="000000" w:sz="4" w:space="0"/>
            </w:tcBorders>
            <w:shd w:val="clear" w:color="auto" w:fill="auto"/>
            <w:vAlign w:val="center"/>
          </w:tcPr>
          <w:p w14:paraId="6177BC3A">
            <w:pPr>
              <w:jc w:val="center"/>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一等奖</w:t>
            </w:r>
          </w:p>
        </w:tc>
      </w:tr>
      <w:tr w14:paraId="18D31E0C">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4321F2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非淀粉紫甘薯多糖通过调节肠道功能和抑制NLRP3信号通路改善LPS诱导的急性结肠炎</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E0A5046">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李杰</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1FCD9ECC">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彭日朗</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龚钰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王庆</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黎宇嘉</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3C866811">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余鹏</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刘小如</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42BF6B95">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245D007D">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74894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基于内源性底物的人工细胞NO控释系统构建及靶向抗栓研究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103E3B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刘子千</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5E16371">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江静静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樊帮卿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黄子轩</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齐昊东</w:t>
            </w:r>
          </w:p>
        </w:tc>
        <w:tc>
          <w:tcPr>
            <w:tcW w:w="796" w:type="pct"/>
            <w:gridSpan w:val="3"/>
            <w:tcBorders>
              <w:top w:val="single" w:color="auto" w:sz="4" w:space="0"/>
              <w:left w:val="single" w:color="000000" w:sz="4" w:space="0"/>
              <w:right w:val="single" w:color="000000" w:sz="4" w:space="0"/>
            </w:tcBorders>
            <w:shd w:val="clear" w:color="FFFFFF" w:fill="FFFFFF"/>
            <w:noWrap/>
            <w:vAlign w:val="center"/>
          </w:tcPr>
          <w:p w14:paraId="770A26A0">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刘松杨</w:t>
            </w:r>
          </w:p>
        </w:tc>
        <w:tc>
          <w:tcPr>
            <w:tcW w:w="516" w:type="pct"/>
            <w:tcBorders>
              <w:top w:val="single" w:color="auto" w:sz="4" w:space="0"/>
              <w:left w:val="single" w:color="000000" w:sz="4" w:space="0"/>
              <w:right w:val="single" w:color="000000" w:sz="4" w:space="0"/>
            </w:tcBorders>
            <w:shd w:val="clear" w:color="auto" w:fill="auto"/>
            <w:vAlign w:val="center"/>
          </w:tcPr>
          <w:p w14:paraId="66537CD4">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2AD9E4CE">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7110119">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基于内源性底物的人工细胞NO控释系统构建及靶向抗栓研究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6C6D9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胡若怡</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7960E8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曹智欣</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涂画</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谢骞霆</w:t>
            </w:r>
          </w:p>
        </w:tc>
        <w:tc>
          <w:tcPr>
            <w:tcW w:w="796" w:type="pct"/>
            <w:gridSpan w:val="3"/>
            <w:tcBorders>
              <w:top w:val="single" w:color="auto" w:sz="4" w:space="0"/>
              <w:left w:val="single" w:color="000000" w:sz="4" w:space="0"/>
              <w:right w:val="single" w:color="000000" w:sz="4" w:space="0"/>
            </w:tcBorders>
            <w:shd w:val="clear" w:color="FFFFFF" w:fill="FFFFFF"/>
            <w:noWrap/>
            <w:vAlign w:val="center"/>
          </w:tcPr>
          <w:p w14:paraId="7B51D7F3">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江龙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许源</w:t>
            </w:r>
          </w:p>
        </w:tc>
        <w:tc>
          <w:tcPr>
            <w:tcW w:w="516" w:type="pct"/>
            <w:tcBorders>
              <w:top w:val="single" w:color="auto" w:sz="4" w:space="0"/>
              <w:left w:val="single" w:color="000000" w:sz="4" w:space="0"/>
              <w:right w:val="single" w:color="000000" w:sz="4" w:space="0"/>
            </w:tcBorders>
            <w:shd w:val="clear" w:color="auto" w:fill="auto"/>
            <w:vAlign w:val="center"/>
          </w:tcPr>
          <w:p w14:paraId="40550AF8">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6DE0E60A">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2C0608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脑际经纬：无创双频神经环网刺激系统——首创深浅联合网络化刺激，破解卒中康复的时空密码</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6EA451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李双林</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F301A5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吴之萌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田嘉楠</w:t>
            </w:r>
            <w:r>
              <w:rPr>
                <w:rFonts w:hint="eastAsia" w:ascii="仿宋" w:hAnsi="仿宋" w:eastAsia="仿宋" w:cs="仿宋"/>
                <w:color w:val="000000"/>
                <w:kern w:val="0"/>
                <w:sz w:val="24"/>
                <w:szCs w:val="24"/>
                <w:lang w:eastAsia="zh-CN"/>
              </w:rPr>
              <w:t>，</w:t>
            </w:r>
          </w:p>
        </w:tc>
        <w:tc>
          <w:tcPr>
            <w:tcW w:w="796" w:type="pct"/>
            <w:gridSpan w:val="3"/>
            <w:tcBorders>
              <w:top w:val="single" w:color="auto" w:sz="4" w:space="0"/>
              <w:left w:val="single" w:color="000000" w:sz="4" w:space="0"/>
              <w:right w:val="single" w:color="000000" w:sz="4" w:space="0"/>
            </w:tcBorders>
            <w:shd w:val="clear" w:color="FFFFFF" w:fill="FFFFFF"/>
            <w:noWrap/>
            <w:vAlign w:val="center"/>
          </w:tcPr>
          <w:p w14:paraId="4070CC54">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白洋</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段昱</w:t>
            </w:r>
          </w:p>
        </w:tc>
        <w:tc>
          <w:tcPr>
            <w:tcW w:w="516" w:type="pct"/>
            <w:tcBorders>
              <w:top w:val="single" w:color="auto" w:sz="4" w:space="0"/>
              <w:left w:val="single" w:color="000000" w:sz="4" w:space="0"/>
              <w:right w:val="single" w:color="000000" w:sz="4" w:space="0"/>
            </w:tcBorders>
            <w:shd w:val="clear" w:color="auto" w:fill="auto"/>
            <w:vAlign w:val="center"/>
          </w:tcPr>
          <w:p w14:paraId="6A06AE3A">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319CEC7E">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2B3DF4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基于机器学习探索程序性细胞死亡模式预测肿瘤的预后和免疫治疗敏感性</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5E023C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傅琬颖</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607BBA6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龙紫熙</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饶芷榕</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肖乐洋</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胡楷博</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5FC5C5FD">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余鹏</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0DC05D61">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27F36AA7">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7ECB6A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不同整体脂类代谢背景下染料木素暴露水平对于乳腺癌化疗敏感性的影响</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633EF2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张靖茹</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7608C0C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陈奕宇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张悦萍</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544AC9EA">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胡晓鹃</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6DF9189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483E3DF3">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4AD64D6">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基于固态纳米孔传感器的MicroRNA多重检测体系的构建及其在口腔鳞状细胞癌早期诊断中的应用</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7EBEBF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刘佳仪</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FA19CB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谢东哲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陈希</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万文欣</w:t>
            </w:r>
          </w:p>
        </w:tc>
        <w:tc>
          <w:tcPr>
            <w:tcW w:w="796" w:type="pct"/>
            <w:gridSpan w:val="3"/>
            <w:tcBorders>
              <w:top w:val="single" w:color="auto" w:sz="4" w:space="0"/>
              <w:left w:val="single" w:color="000000" w:sz="4" w:space="0"/>
              <w:right w:val="single" w:color="000000" w:sz="4" w:space="0"/>
            </w:tcBorders>
            <w:shd w:val="clear" w:color="FFFFFF" w:fill="FFFFFF"/>
            <w:noWrap/>
            <w:vAlign w:val="center"/>
          </w:tcPr>
          <w:p w14:paraId="074C55AF">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许德荣</w:t>
            </w:r>
          </w:p>
        </w:tc>
        <w:tc>
          <w:tcPr>
            <w:tcW w:w="516" w:type="pct"/>
            <w:tcBorders>
              <w:top w:val="single" w:color="auto" w:sz="4" w:space="0"/>
              <w:left w:val="single" w:color="000000" w:sz="4" w:space="0"/>
              <w:right w:val="single" w:color="000000" w:sz="4" w:space="0"/>
            </w:tcBorders>
            <w:shd w:val="clear" w:color="auto" w:fill="auto"/>
            <w:vAlign w:val="center"/>
          </w:tcPr>
          <w:p w14:paraId="60AC4C35">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255ABFDE">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4B1B46">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纳米塑料诱导的精原细胞泛凋亡的调控机制及其干预策略研究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58D9D28">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张雯博</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62C83A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周果亮</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葛畅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周敏奥</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张洲铭</w:t>
            </w:r>
          </w:p>
        </w:tc>
        <w:tc>
          <w:tcPr>
            <w:tcW w:w="796" w:type="pct"/>
            <w:gridSpan w:val="3"/>
            <w:tcBorders>
              <w:top w:val="single" w:color="auto" w:sz="4" w:space="0"/>
              <w:left w:val="single" w:color="000000" w:sz="4" w:space="0"/>
              <w:bottom w:val="single" w:color="auto" w:sz="4" w:space="0"/>
              <w:right w:val="single" w:color="000000" w:sz="4" w:space="0"/>
            </w:tcBorders>
            <w:shd w:val="clear" w:color="FFFFFF" w:fill="FFFFFF"/>
            <w:noWrap/>
            <w:vAlign w:val="center"/>
          </w:tcPr>
          <w:p w14:paraId="647455DF">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陈莹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罗韬</w:t>
            </w:r>
          </w:p>
        </w:tc>
        <w:tc>
          <w:tcPr>
            <w:tcW w:w="516" w:type="pct"/>
            <w:tcBorders>
              <w:top w:val="single" w:color="auto" w:sz="4" w:space="0"/>
              <w:left w:val="single" w:color="000000" w:sz="4" w:space="0"/>
              <w:bottom w:val="single" w:color="auto" w:sz="4" w:space="0"/>
              <w:right w:val="single" w:color="000000" w:sz="4" w:space="0"/>
            </w:tcBorders>
            <w:shd w:val="clear" w:color="auto" w:fill="auto"/>
            <w:vAlign w:val="center"/>
          </w:tcPr>
          <w:p w14:paraId="30644390">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566CAE9F">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01B455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双侧苍白球无创电刺激改善帕金森运动症的研究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C0FC32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张睿</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702A368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余柏</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邓娟</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罗心睿</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72DBEB76">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白洋</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周征成</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2D5F499F">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49FBC829">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5778BD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基于无创拉曼光谱检测的深度学习模型在结直肠癌早期筛查中的应用研究</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E1FB140">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郭书嫚</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9258804">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钱庭壹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甘静宜</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李子莹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程智文</w:t>
            </w:r>
          </w:p>
        </w:tc>
        <w:tc>
          <w:tcPr>
            <w:tcW w:w="796" w:type="pct"/>
            <w:gridSpan w:val="3"/>
            <w:tcBorders>
              <w:top w:val="single" w:color="auto" w:sz="4" w:space="0"/>
              <w:left w:val="single" w:color="000000" w:sz="4" w:space="0"/>
              <w:bottom w:val="single" w:color="auto" w:sz="4" w:space="0"/>
              <w:right w:val="single" w:color="000000" w:sz="4" w:space="0"/>
            </w:tcBorders>
            <w:shd w:val="clear" w:color="FFFFFF" w:fill="FFFFFF"/>
            <w:noWrap/>
            <w:vAlign w:val="center"/>
          </w:tcPr>
          <w:p w14:paraId="52D12163">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王小中</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敖晓妍</w:t>
            </w:r>
          </w:p>
        </w:tc>
        <w:tc>
          <w:tcPr>
            <w:tcW w:w="516" w:type="pct"/>
            <w:tcBorders>
              <w:top w:val="single" w:color="auto" w:sz="4" w:space="0"/>
              <w:left w:val="single" w:color="000000" w:sz="4" w:space="0"/>
              <w:bottom w:val="single" w:color="auto" w:sz="4" w:space="0"/>
              <w:right w:val="single" w:color="000000" w:sz="4" w:space="0"/>
            </w:tcBorders>
            <w:shd w:val="clear" w:color="auto" w:fill="auto"/>
            <w:vAlign w:val="center"/>
          </w:tcPr>
          <w:p w14:paraId="7282350E">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6E6A4797">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C409AA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基于多模态大语言模型通过诊断经验积累实现Stanford B型主动脉壁间血肿精确预测</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B227F7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游芷晗</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C5B57A1">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鄢熙雅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许婉芊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高若绮</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杨睿也</w:t>
            </w:r>
          </w:p>
        </w:tc>
        <w:tc>
          <w:tcPr>
            <w:tcW w:w="796" w:type="pct"/>
            <w:gridSpan w:val="3"/>
            <w:tcBorders>
              <w:top w:val="single" w:color="auto" w:sz="4" w:space="0"/>
              <w:left w:val="single" w:color="000000" w:sz="4" w:space="0"/>
              <w:bottom w:val="single" w:color="auto" w:sz="4" w:space="0"/>
              <w:right w:val="single" w:color="000000" w:sz="4" w:space="0"/>
            </w:tcBorders>
            <w:shd w:val="clear" w:color="FFFFFF" w:fill="FFFFFF"/>
            <w:noWrap/>
            <w:vAlign w:val="center"/>
          </w:tcPr>
          <w:p w14:paraId="4E662297">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周为民</w:t>
            </w:r>
          </w:p>
        </w:tc>
        <w:tc>
          <w:tcPr>
            <w:tcW w:w="516" w:type="pct"/>
            <w:tcBorders>
              <w:top w:val="single" w:color="auto" w:sz="4" w:space="0"/>
              <w:left w:val="single" w:color="000000" w:sz="4" w:space="0"/>
              <w:bottom w:val="single" w:color="auto" w:sz="4" w:space="0"/>
              <w:right w:val="single" w:color="000000" w:sz="4" w:space="0"/>
            </w:tcBorders>
            <w:shd w:val="clear" w:color="auto" w:fill="auto"/>
            <w:vAlign w:val="center"/>
          </w:tcPr>
          <w:p w14:paraId="0FC5E32E">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1D49FAF9">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BF1100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基于磁分离结合LAMP实现对各类标本中高毒力耐药肺炎克雷伯菌的快速检测</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A73E076">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钟炜</w:t>
            </w:r>
          </w:p>
        </w:tc>
        <w:tc>
          <w:tcPr>
            <w:tcW w:w="1352" w:type="pct"/>
            <w:gridSpan w:val="2"/>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5DC13A3E">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过睿颖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曾子逸</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周瀚</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谢勋</w:t>
            </w:r>
          </w:p>
        </w:tc>
        <w:tc>
          <w:tcPr>
            <w:tcW w:w="796" w:type="pct"/>
            <w:gridSpan w:val="3"/>
            <w:tcBorders>
              <w:top w:val="single" w:color="auto" w:sz="4" w:space="0"/>
              <w:left w:val="single" w:color="auto" w:sz="4" w:space="0"/>
              <w:bottom w:val="single" w:color="auto" w:sz="4" w:space="0"/>
              <w:right w:val="single" w:color="auto" w:sz="4" w:space="0"/>
            </w:tcBorders>
            <w:shd w:val="clear" w:color="FFFFFF" w:fill="FFFFFF"/>
            <w:noWrap/>
            <w:vAlign w:val="center"/>
          </w:tcPr>
          <w:p w14:paraId="339707E6">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范琳萍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刘洋</w:t>
            </w:r>
          </w:p>
        </w:tc>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352DB78C">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7FB10960">
        <w:tblPrEx>
          <w:tblCellMar>
            <w:top w:w="0" w:type="dxa"/>
            <w:left w:w="108" w:type="dxa"/>
            <w:bottom w:w="0" w:type="dxa"/>
            <w:right w:w="108" w:type="dxa"/>
          </w:tblCellMar>
        </w:tblPrEx>
        <w:trPr>
          <w:gridBefore w:val="1"/>
          <w:gridAfter w:val="2"/>
          <w:wBefore w:w="3" w:type="pct"/>
          <w:wAfter w:w="111" w:type="pct"/>
          <w:trHeight w:val="420" w:hRule="atLeast"/>
        </w:trPr>
        <w:tc>
          <w:tcPr>
            <w:tcW w:w="1623"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B8A9379">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负载葛根素的可注射光交联水凝胶-聚丙烯复合补片修复腹壁缺损​</w:t>
            </w:r>
          </w:p>
        </w:tc>
        <w:tc>
          <w:tcPr>
            <w:tcW w:w="596" w:type="pct"/>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6149E6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邹绍健</w:t>
            </w:r>
          </w:p>
        </w:tc>
        <w:tc>
          <w:tcPr>
            <w:tcW w:w="1352" w:type="pct"/>
            <w:gridSpan w:val="2"/>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CAD145D">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房思甜</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柳兴华</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袁梦婷</w:t>
            </w:r>
          </w:p>
        </w:tc>
        <w:tc>
          <w:tcPr>
            <w:tcW w:w="796" w:type="pct"/>
            <w:gridSpan w:val="3"/>
            <w:tcBorders>
              <w:top w:val="single" w:color="auto" w:sz="4" w:space="0"/>
              <w:left w:val="single" w:color="000000" w:sz="4" w:space="0"/>
              <w:bottom w:val="single" w:color="auto" w:sz="4" w:space="0"/>
              <w:right w:val="single" w:color="000000" w:sz="4" w:space="0"/>
            </w:tcBorders>
            <w:shd w:val="clear" w:color="FFFFFF" w:fill="FFFFFF"/>
            <w:noWrap/>
            <w:vAlign w:val="center"/>
          </w:tcPr>
          <w:p w14:paraId="56049FBF">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宗振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毛盛勋</w:t>
            </w:r>
          </w:p>
        </w:tc>
        <w:tc>
          <w:tcPr>
            <w:tcW w:w="516" w:type="pct"/>
            <w:tcBorders>
              <w:top w:val="single" w:color="auto" w:sz="4" w:space="0"/>
              <w:left w:val="single" w:color="000000" w:sz="4" w:space="0"/>
              <w:bottom w:val="single" w:color="auto" w:sz="4" w:space="0"/>
              <w:right w:val="single" w:color="000000" w:sz="4" w:space="0"/>
            </w:tcBorders>
            <w:shd w:val="clear" w:color="auto" w:fill="auto"/>
            <w:vAlign w:val="center"/>
          </w:tcPr>
          <w:p w14:paraId="39370BDB">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bl>
    <w:p w14:paraId="364A1D85">
      <w:pPr>
        <w:widowControl/>
        <w:spacing w:beforeLines="50" w:afterLines="50"/>
        <w:jc w:val="center"/>
        <w:textAlignment w:val="center"/>
        <w:rPr>
          <w:rFonts w:ascii="仿宋" w:hAnsi="仿宋" w:eastAsia="仿宋"/>
          <w:b/>
          <w:bCs/>
          <w:color w:val="000000"/>
          <w:kern w:val="0"/>
          <w:sz w:val="28"/>
          <w:szCs w:val="28"/>
        </w:rPr>
      </w:pPr>
      <w:r>
        <w:rPr>
          <w:rFonts w:hint="eastAsia" w:ascii="仿宋" w:hAnsi="仿宋" w:eastAsia="仿宋"/>
          <w:b/>
          <w:bCs/>
          <w:color w:val="000000"/>
          <w:kern w:val="0"/>
          <w:sz w:val="28"/>
          <w:szCs w:val="28"/>
        </w:rPr>
        <w:t>口腔医学赛道</w:t>
      </w:r>
    </w:p>
    <w:tbl>
      <w:tblPr>
        <w:tblStyle w:val="6"/>
        <w:tblW w:w="9585" w:type="dxa"/>
        <w:tblInd w:w="96" w:type="dxa"/>
        <w:tblLayout w:type="fixed"/>
        <w:tblCellMar>
          <w:top w:w="0" w:type="dxa"/>
          <w:left w:w="108" w:type="dxa"/>
          <w:bottom w:w="0" w:type="dxa"/>
          <w:right w:w="108" w:type="dxa"/>
        </w:tblCellMar>
      </w:tblPr>
      <w:tblGrid>
        <w:gridCol w:w="3120"/>
        <w:gridCol w:w="1185"/>
        <w:gridCol w:w="2715"/>
        <w:gridCol w:w="1560"/>
        <w:gridCol w:w="1005"/>
      </w:tblGrid>
      <w:tr w14:paraId="524F3618">
        <w:tblPrEx>
          <w:tblCellMar>
            <w:top w:w="0" w:type="dxa"/>
            <w:left w:w="108" w:type="dxa"/>
            <w:bottom w:w="0" w:type="dxa"/>
            <w:right w:w="108" w:type="dxa"/>
          </w:tblCellMar>
        </w:tblPrEx>
        <w:trPr>
          <w:trHeight w:val="408" w:hRule="atLeast"/>
        </w:trPr>
        <w:tc>
          <w:tcPr>
            <w:tcW w:w="3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22F5">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36BA">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27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EB74">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15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BCD66EC">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1955E8F2">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10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0FC774C">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4577219D">
        <w:tblPrEx>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ECB0C9A">
            <w:pPr>
              <w:widowControl/>
              <w:jc w:val="center"/>
              <w:textAlignment w:val="center"/>
              <w:rPr>
                <w:rFonts w:hint="eastAsia" w:ascii="仿宋" w:hAnsi="仿宋" w:eastAsia="仿宋" w:cs="仿宋"/>
                <w:color w:val="000000"/>
                <w:sz w:val="24"/>
                <w:szCs w:val="24"/>
              </w:rPr>
            </w:pPr>
            <w:r>
              <w:rPr>
                <w:rFonts w:hint="eastAsia" w:ascii="仿宋" w:hAnsi="仿宋" w:eastAsia="仿宋" w:cs="仿宋"/>
                <w:bCs/>
                <w:color w:val="000000"/>
                <w:sz w:val="24"/>
                <w:szCs w:val="24"/>
              </w:rPr>
              <w:t>氧化锌复合材料通过释放活性氧和一氧化氮治疗牙周炎</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BC7305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曾文娟</w:t>
            </w:r>
          </w:p>
        </w:tc>
        <w:tc>
          <w:tcPr>
            <w:tcW w:w="271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4D275997">
            <w:pPr>
              <w:widowControl/>
              <w:tabs>
                <w:tab w:val="left" w:pos="220"/>
              </w:tabs>
              <w:jc w:val="left"/>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杜少坤</w:t>
            </w:r>
            <w:r>
              <w:rPr>
                <w:rFonts w:hint="eastAsia" w:ascii="仿宋" w:hAnsi="仿宋" w:eastAsia="仿宋" w:cs="仿宋"/>
                <w:color w:val="000000"/>
                <w:sz w:val="24"/>
                <w:szCs w:val="24"/>
                <w:lang w:eastAsia="zh-CN"/>
              </w:rPr>
              <w:t>，</w:t>
            </w:r>
            <w:r>
              <w:rPr>
                <w:rFonts w:hint="eastAsia" w:ascii="仿宋" w:hAnsi="仿宋" w:eastAsia="仿宋" w:cs="仿宋"/>
                <w:sz w:val="24"/>
                <w:szCs w:val="24"/>
              </w:rPr>
              <w:t>傅枫</w:t>
            </w:r>
            <w:r>
              <w:rPr>
                <w:rFonts w:hint="eastAsia" w:ascii="仿宋" w:hAnsi="仿宋" w:eastAsia="仿宋" w:cs="仿宋"/>
                <w:sz w:val="24"/>
                <w:szCs w:val="24"/>
                <w:lang w:eastAsia="zh-CN"/>
              </w:rPr>
              <w:t>，</w:t>
            </w:r>
            <w:r>
              <w:rPr>
                <w:rFonts w:hint="eastAsia" w:ascii="仿宋" w:hAnsi="仿宋" w:eastAsia="仿宋" w:cs="仿宋"/>
                <w:sz w:val="24"/>
                <w:szCs w:val="24"/>
              </w:rPr>
              <w:t>刘丽桦</w:t>
            </w:r>
            <w:r>
              <w:rPr>
                <w:rFonts w:hint="eastAsia" w:ascii="仿宋" w:hAnsi="仿宋" w:eastAsia="仿宋" w:cs="仿宋"/>
                <w:sz w:val="24"/>
                <w:szCs w:val="24"/>
                <w:lang w:eastAsia="zh-CN"/>
              </w:rPr>
              <w:t>，</w:t>
            </w:r>
            <w:r>
              <w:rPr>
                <w:rFonts w:hint="eastAsia" w:ascii="仿宋" w:hAnsi="仿宋" w:eastAsia="仿宋" w:cs="仿宋"/>
                <w:color w:val="000000"/>
                <w:sz w:val="24"/>
                <w:szCs w:val="24"/>
              </w:rPr>
              <w:t>曾淑雁</w:t>
            </w:r>
          </w:p>
        </w:tc>
        <w:tc>
          <w:tcPr>
            <w:tcW w:w="1560" w:type="dxa"/>
            <w:tcBorders>
              <w:top w:val="single" w:color="auto" w:sz="4" w:space="0"/>
              <w:left w:val="single" w:color="auto" w:sz="4" w:space="0"/>
              <w:right w:val="single" w:color="auto" w:sz="4" w:space="0"/>
            </w:tcBorders>
            <w:shd w:val="clear" w:color="FFFFFF" w:fill="FFFFFF"/>
            <w:noWrap/>
            <w:vAlign w:val="center"/>
          </w:tcPr>
          <w:p w14:paraId="08C6EA14">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王小磊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周甜</w:t>
            </w:r>
          </w:p>
        </w:tc>
        <w:tc>
          <w:tcPr>
            <w:tcW w:w="1005" w:type="dxa"/>
            <w:tcBorders>
              <w:top w:val="single" w:color="auto" w:sz="4" w:space="0"/>
              <w:left w:val="single" w:color="auto" w:sz="4" w:space="0"/>
              <w:right w:val="single" w:color="auto" w:sz="4" w:space="0"/>
            </w:tcBorders>
            <w:shd w:val="clear" w:color="auto" w:fill="auto"/>
            <w:vAlign w:val="center"/>
          </w:tcPr>
          <w:p w14:paraId="1DFA7B0B">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50C06EEE">
        <w:tblPrEx>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B9E632B">
            <w:pPr>
              <w:widowControl/>
              <w:jc w:val="center"/>
              <w:textAlignment w:val="center"/>
              <w:rPr>
                <w:rFonts w:hint="eastAsia" w:ascii="仿宋" w:hAnsi="仿宋" w:eastAsia="仿宋" w:cs="仿宋"/>
                <w:color w:val="000000"/>
                <w:sz w:val="24"/>
                <w:szCs w:val="24"/>
              </w:rPr>
            </w:pPr>
            <w:r>
              <w:rPr>
                <w:rFonts w:hint="eastAsia" w:ascii="仿宋" w:hAnsi="仿宋" w:eastAsia="仿宋" w:cs="仿宋"/>
                <w:bCs/>
                <w:color w:val="000000"/>
                <w:sz w:val="24"/>
                <w:szCs w:val="24"/>
              </w:rPr>
              <w:t>VDAC1与HK1相互作用在牙周炎中的作用及调控机制研究</w:t>
            </w:r>
          </w:p>
        </w:tc>
        <w:tc>
          <w:tcPr>
            <w:tcW w:w="1185"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81ED36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曾蕾</w:t>
            </w:r>
          </w:p>
        </w:tc>
        <w:tc>
          <w:tcPr>
            <w:tcW w:w="271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13045C3F">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黄莉然、刘雨佳、武雪飞</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6B148901">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刘汾</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F238123">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5CB7024F">
        <w:tblPrEx>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auto" w:sz="4" w:space="0"/>
              <w:right w:val="single" w:color="000000" w:sz="4" w:space="0"/>
            </w:tcBorders>
            <w:shd w:val="clear" w:color="FFFFFF" w:fill="FFFFFF"/>
            <w:noWrap/>
            <w:vAlign w:val="center"/>
          </w:tcPr>
          <w:p w14:paraId="439A7F8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用于细菌成像和抗厌氧菌牙周治疗的微环境响应型NIR-IIb多功能纳米酶平台</w:t>
            </w:r>
          </w:p>
        </w:tc>
        <w:tc>
          <w:tcPr>
            <w:tcW w:w="1185" w:type="dxa"/>
            <w:tcBorders>
              <w:top w:val="single" w:color="000000" w:sz="4" w:space="0"/>
              <w:left w:val="single" w:color="000000" w:sz="4" w:space="0"/>
              <w:bottom w:val="single" w:color="auto" w:sz="4" w:space="0"/>
              <w:right w:val="single" w:color="000000" w:sz="4" w:space="0"/>
            </w:tcBorders>
            <w:shd w:val="clear" w:color="FFFFFF" w:fill="FFFFFF"/>
            <w:noWrap/>
            <w:vAlign w:val="center"/>
          </w:tcPr>
          <w:p w14:paraId="334B2240">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蒋雨欣</w:t>
            </w:r>
          </w:p>
        </w:tc>
        <w:tc>
          <w:tcPr>
            <w:tcW w:w="2715" w:type="dxa"/>
            <w:tcBorders>
              <w:top w:val="single" w:color="000000" w:sz="4" w:space="0"/>
              <w:left w:val="single" w:color="000000" w:sz="4" w:space="0"/>
              <w:bottom w:val="single" w:color="auto" w:sz="4" w:space="0"/>
              <w:right w:val="single" w:color="auto" w:sz="4" w:space="0"/>
            </w:tcBorders>
            <w:shd w:val="clear" w:color="FFFFFF" w:fill="FFFFFF"/>
            <w:noWrap/>
            <w:vAlign w:val="center"/>
          </w:tcPr>
          <w:p w14:paraId="3192C63F">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淦诗雨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薛成舟</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程碧滢</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邹瑞阳</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6AAACBDE">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邱嘉旋</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3AD1C209">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7FBC91F1">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45AC649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Cdc42通过ANXA2/JAK/STATs信号通路影响脓毒症的机制研究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24C14C3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王福崇</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7F474875">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李佳霓</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吴睿晨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温启兵</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刘腾岗</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267199C">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李蕾</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贺婧</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6D7A6A7">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6F81B837">
        <w:tblPrEx>
          <w:tblCellMar>
            <w:top w:w="0" w:type="dxa"/>
            <w:left w:w="108" w:type="dxa"/>
            <w:bottom w:w="0" w:type="dxa"/>
            <w:right w:w="108" w:type="dxa"/>
          </w:tblCellMar>
        </w:tblPrEx>
        <w:trPr>
          <w:trHeight w:val="400" w:hRule="atLeast"/>
        </w:trPr>
        <w:tc>
          <w:tcPr>
            <w:tcW w:w="3120" w:type="dxa"/>
            <w:tcBorders>
              <w:top w:val="single" w:color="auto" w:sz="4" w:space="0"/>
              <w:left w:val="single" w:color="000000" w:sz="4" w:space="0"/>
              <w:bottom w:val="single" w:color="000000" w:sz="4" w:space="0"/>
              <w:right w:val="single" w:color="000000" w:sz="4" w:space="0"/>
            </w:tcBorders>
            <w:shd w:val="clear" w:color="FFFFFF" w:fill="FFFFFF"/>
            <w:noWrap/>
            <w:vAlign w:val="center"/>
          </w:tcPr>
          <w:p w14:paraId="0A1A43B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“蓝藻-纳米酶”系统的细胞氧气海绵用于促进拔牙创面的组织愈合</w:t>
            </w:r>
          </w:p>
        </w:tc>
        <w:tc>
          <w:tcPr>
            <w:tcW w:w="1185" w:type="dxa"/>
            <w:tcBorders>
              <w:top w:val="single" w:color="auto" w:sz="4" w:space="0"/>
              <w:left w:val="single" w:color="000000" w:sz="4" w:space="0"/>
              <w:bottom w:val="single" w:color="000000" w:sz="4" w:space="0"/>
              <w:right w:val="single" w:color="000000" w:sz="4" w:space="0"/>
            </w:tcBorders>
            <w:shd w:val="clear" w:color="FFFFFF" w:fill="FFFFFF"/>
            <w:noWrap/>
            <w:vAlign w:val="center"/>
          </w:tcPr>
          <w:p w14:paraId="20FCB3F7">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曾熙</w:t>
            </w:r>
          </w:p>
        </w:tc>
        <w:tc>
          <w:tcPr>
            <w:tcW w:w="2715" w:type="dxa"/>
            <w:tcBorders>
              <w:top w:val="single" w:color="auto" w:sz="4" w:space="0"/>
              <w:left w:val="single" w:color="000000" w:sz="4" w:space="0"/>
              <w:bottom w:val="single" w:color="000000" w:sz="4" w:space="0"/>
              <w:right w:val="single" w:color="auto" w:sz="4" w:space="0"/>
            </w:tcBorders>
            <w:shd w:val="clear" w:color="FFFFFF" w:fill="FFFFFF"/>
            <w:noWrap/>
            <w:vAlign w:val="center"/>
          </w:tcPr>
          <w:p w14:paraId="45B4F05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汪韬</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刘奕辰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唐婉玲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林志阳</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D05CCF0">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聂瑞筠</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054581C">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5A0EC08D">
        <w:tblPrEx>
          <w:tblCellMar>
            <w:top w:w="0" w:type="dxa"/>
            <w:left w:w="108" w:type="dxa"/>
            <w:bottom w:w="0" w:type="dxa"/>
            <w:right w:w="108" w:type="dxa"/>
          </w:tblCellMar>
        </w:tblPrEx>
        <w:trPr>
          <w:trHeight w:val="600" w:hRule="atLeast"/>
        </w:trPr>
        <w:tc>
          <w:tcPr>
            <w:tcW w:w="9585" w:type="dxa"/>
            <w:gridSpan w:val="5"/>
            <w:tcBorders>
              <w:top w:val="nil"/>
              <w:left w:val="nil"/>
              <w:bottom w:val="nil"/>
              <w:right w:val="nil"/>
            </w:tcBorders>
            <w:shd w:val="clear" w:color="auto" w:fill="auto"/>
            <w:noWrap/>
            <w:vAlign w:val="center"/>
          </w:tcPr>
          <w:p w14:paraId="5DE4F315">
            <w:pPr>
              <w:widowControl/>
              <w:spacing w:beforeLines="50" w:afterLines="50"/>
              <w:jc w:val="center"/>
              <w:textAlignment w:val="center"/>
              <w:rPr>
                <w:rFonts w:ascii="宋体" w:hAnsi="宋体" w:cs="宋体"/>
                <w:b/>
                <w:bCs/>
                <w:color w:val="000000"/>
                <w:sz w:val="28"/>
                <w:szCs w:val="28"/>
              </w:rPr>
            </w:pPr>
            <w:r>
              <w:rPr>
                <w:rFonts w:hint="eastAsia" w:ascii="仿宋" w:hAnsi="仿宋" w:eastAsia="仿宋"/>
                <w:b/>
                <w:bCs/>
                <w:color w:val="000000"/>
                <w:kern w:val="0"/>
                <w:sz w:val="28"/>
                <w:szCs w:val="28"/>
              </w:rPr>
              <w:t>创新研究（药学中医药赛道）</w:t>
            </w:r>
          </w:p>
        </w:tc>
      </w:tr>
      <w:tr w14:paraId="463A0667">
        <w:tblPrEx>
          <w:tblCellMar>
            <w:top w:w="0" w:type="dxa"/>
            <w:left w:w="108" w:type="dxa"/>
            <w:bottom w:w="0" w:type="dxa"/>
            <w:right w:w="108" w:type="dxa"/>
          </w:tblCellMar>
        </w:tblPrEx>
        <w:trPr>
          <w:trHeight w:val="408" w:hRule="atLeast"/>
        </w:trPr>
        <w:tc>
          <w:tcPr>
            <w:tcW w:w="31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57428C">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11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CE5AC6">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271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4D1D05">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15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9DABD44">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23C5EBE9">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10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CC9B9C">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4A1AE832">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881E5DE">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五味子乙素激活NRF2通路抑制铁死亡以缓解奥沙利铂诱导的大鼠药物性肝损伤</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1F62A35">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刘奕晨</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624D32AC">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黎心语</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金婷</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C80DEE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刘方兰</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BBA7F7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一等奖</w:t>
            </w:r>
          </w:p>
        </w:tc>
      </w:tr>
      <w:tr w14:paraId="5D1A5A19">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4D2DC137">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基于上转换纳米粒子和补骨脂素的光转换微针贴片通过重塑皮肤免疫微环境治疗银屑病</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3EB7F5A">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王海昌</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335ECAD">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尹郑帅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许锦晖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宋明哲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皇甫若泉</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F0C317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罗军</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034CFF7">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二等奖</w:t>
            </w:r>
          </w:p>
        </w:tc>
      </w:tr>
      <w:tr w14:paraId="270B49DE">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4194FEB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PDP1通过调控铁死亡促进胰腺癌吉西他滨耐药的机制研究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FA0EDAC">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凌梦</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E9B50EE">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钟佳利</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杨梦菲</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2323FD39">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夏春华</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D9C3C2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二等奖</w:t>
            </w:r>
          </w:p>
        </w:tc>
      </w:tr>
      <w:tr w14:paraId="38803B3B">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A15560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雷公藤甲素可溶性微针的构建及其治疗类风湿性关节炎的研究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23EF2229">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熊超越</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341DB4F7">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贺蔚林</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张雨姿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黄振铎</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6740965A">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郭锋</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527BE0A">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三等奖</w:t>
            </w:r>
          </w:p>
        </w:tc>
      </w:tr>
      <w:tr w14:paraId="73B053D3">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7EE0CB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基于网络药理学与分子对接技术探究水飞蓟抗结直肠癌的作用及潜在作用靶点</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EA76278">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林毅</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0BB1E8C">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揭诗晨</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李亚超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陈昆</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3FFC163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廖凯莉</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66154AC">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三等奖</w:t>
            </w:r>
          </w:p>
        </w:tc>
      </w:tr>
      <w:tr w14:paraId="34B36C1A">
        <w:tblPrEx>
          <w:tblCellMar>
            <w:top w:w="0" w:type="dxa"/>
            <w:left w:w="108" w:type="dxa"/>
            <w:bottom w:w="0" w:type="dxa"/>
            <w:right w:w="108" w:type="dxa"/>
          </w:tblCellMar>
        </w:tblPrEx>
        <w:trPr>
          <w:trHeight w:val="400" w:hRule="atLeast"/>
        </w:trPr>
        <w:tc>
          <w:tcPr>
            <w:tcW w:w="312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143A79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选择性PARP1/CDK6双靶点抑制剂的设计合成与抗三阴性乳腺癌活性研究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6F084B00">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郑可盈</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58171A6F">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赖艺玲</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刘泉</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刘流</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张紫凤</w:t>
            </w:r>
          </w:p>
        </w:tc>
        <w:tc>
          <w:tcPr>
            <w:tcW w:w="156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77F6647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王成</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94A01E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三等奖</w:t>
            </w:r>
          </w:p>
        </w:tc>
      </w:tr>
      <w:tr w14:paraId="63A5510C">
        <w:tblPrEx>
          <w:tblCellMar>
            <w:top w:w="0" w:type="dxa"/>
            <w:left w:w="108" w:type="dxa"/>
            <w:bottom w:w="0" w:type="dxa"/>
            <w:right w:w="108" w:type="dxa"/>
          </w:tblCellMar>
        </w:tblPrEx>
        <w:trPr>
          <w:trHeight w:val="627" w:hRule="atLeast"/>
        </w:trPr>
        <w:tc>
          <w:tcPr>
            <w:tcW w:w="9585" w:type="dxa"/>
            <w:gridSpan w:val="5"/>
            <w:tcBorders>
              <w:top w:val="single" w:color="auto" w:sz="4" w:space="0"/>
              <w:left w:val="nil"/>
              <w:bottom w:val="nil"/>
              <w:right w:val="nil"/>
            </w:tcBorders>
            <w:shd w:val="clear" w:color="auto" w:fill="auto"/>
            <w:noWrap/>
            <w:vAlign w:val="center"/>
          </w:tcPr>
          <w:p w14:paraId="34C2156D">
            <w:pPr>
              <w:widowControl/>
              <w:spacing w:beforeLines="50" w:afterLines="50"/>
              <w:jc w:val="center"/>
              <w:textAlignment w:val="center"/>
              <w:rPr>
                <w:rFonts w:ascii="宋体" w:hAnsi="宋体" w:cs="宋体"/>
                <w:b/>
                <w:bCs/>
                <w:color w:val="000000"/>
                <w:sz w:val="32"/>
                <w:szCs w:val="32"/>
              </w:rPr>
            </w:pPr>
            <w:r>
              <w:rPr>
                <w:rFonts w:hint="eastAsia" w:ascii="仿宋" w:hAnsi="仿宋" w:eastAsia="仿宋"/>
                <w:b/>
                <w:bCs/>
                <w:color w:val="000000"/>
                <w:kern w:val="0"/>
                <w:sz w:val="28"/>
                <w:szCs w:val="28"/>
              </w:rPr>
              <w:t>实验设计（药学中医药赛道）</w:t>
            </w:r>
          </w:p>
        </w:tc>
      </w:tr>
      <w:tr w14:paraId="4A1DE706">
        <w:tblPrEx>
          <w:tblCellMar>
            <w:top w:w="0" w:type="dxa"/>
            <w:left w:w="108" w:type="dxa"/>
            <w:bottom w:w="0" w:type="dxa"/>
            <w:right w:w="108" w:type="dxa"/>
          </w:tblCellMar>
        </w:tblPrEx>
        <w:trPr>
          <w:trHeight w:val="614" w:hRule="atLeast"/>
        </w:trPr>
        <w:tc>
          <w:tcPr>
            <w:tcW w:w="31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75AA1A">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118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24844C">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271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D40EDF2">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15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7F2BFC0">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4F254C31">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10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330EFB">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2C809B19">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02319B">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人工细胞介导胆固醇清除协同NO可控释放靶向治疗动脉粥样硬化</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A847A0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杨林</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92EE3A4">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叶佳怡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邵易晴</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贺瑞峰</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0299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刘松杨</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7BAC164">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一等奖</w:t>
            </w:r>
          </w:p>
        </w:tc>
      </w:tr>
      <w:tr w14:paraId="61FE6B96">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4EFD8">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虾青素靶向KAT2A干预纳米塑料暴露下卵巢损伤的机制破解和策略研究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78E56B84">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黄琳斐</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4EA32632">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宋佳音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姜文婧</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陈霞</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王俐颖</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B26076">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李佳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罗韬</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495D665">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一等奖</w:t>
            </w:r>
          </w:p>
        </w:tc>
      </w:tr>
      <w:tr w14:paraId="74954565">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FD56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高纯度ADSC-Exos分离纯化及其修复UV损伤成纤维细胞分子机制研究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7EB3C717">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江明阳</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1611D8D">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许灿灿</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钟志英</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刘羽颜</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08EAF">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沈志伟</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B320D2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二等奖</w:t>
            </w:r>
          </w:p>
        </w:tc>
      </w:tr>
      <w:tr w14:paraId="35B6087C">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94FC91">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黄芩素调控JAK/STAT/VEGF通路抑制角膜碱烧伤后新生血管形成</w:t>
            </w:r>
          </w:p>
          <w:p w14:paraId="1E595C5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的作用及机制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7B165F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胡钰</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739D9C37">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刘书婷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袁慧银</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李若愚</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谢嘉奕</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876E9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王安安</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932067A">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二等奖</w:t>
            </w:r>
          </w:p>
        </w:tc>
      </w:tr>
      <w:tr w14:paraId="0FFC1A86">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ADFCD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蛇床子素通过STEAP3转录因子调控铁死亡抑制食管癌进展的作用</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32C1CBA">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李本捷</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390DE498">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李易凡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丁文铄</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吉熠</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徐嘉桐</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FE4D14">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汪畅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刘利龙</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5BA0789">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二等奖</w:t>
            </w:r>
          </w:p>
        </w:tc>
      </w:tr>
      <w:tr w14:paraId="4708E5EC">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7D54AD">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线粒体守护者：甘草酸缓解蛇毒肝损伤的多维机制研究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692FF8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罗雨鑫</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2BC398CB">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张远怡</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李子晗</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杨坤</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C48EB6">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曾婷</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刘平</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E6B6B4B">
            <w:pPr>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三等奖</w:t>
            </w:r>
          </w:p>
        </w:tc>
      </w:tr>
      <w:tr w14:paraId="01BE7A91">
        <w:tblPrEx>
          <w:tblCellMar>
            <w:top w:w="0" w:type="dxa"/>
            <w:left w:w="108" w:type="dxa"/>
            <w:bottom w:w="0" w:type="dxa"/>
            <w:right w:w="108" w:type="dxa"/>
          </w:tblCellMar>
        </w:tblPrEx>
        <w:trPr>
          <w:trHeight w:val="378" w:hRule="atLeast"/>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F32D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绞股蓝皂苷XLIX上调PGC1α改善糖尿病心肌病机制研究</w:t>
            </w:r>
          </w:p>
        </w:tc>
        <w:tc>
          <w:tcPr>
            <w:tcW w:w="118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5644650">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陈乐</w:t>
            </w:r>
          </w:p>
        </w:tc>
        <w:tc>
          <w:tcPr>
            <w:tcW w:w="2715"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24ADDDA">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杨卓超</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王超祺</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孔杨云</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0AD784">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廖章萍</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彭易安</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9FCA026">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三等奖</w:t>
            </w:r>
          </w:p>
        </w:tc>
      </w:tr>
    </w:tbl>
    <w:p w14:paraId="2BF7124B">
      <w:pPr>
        <w:widowControl/>
        <w:spacing w:beforeLines="50" w:afterLines="50"/>
        <w:jc w:val="center"/>
        <w:textAlignment w:val="center"/>
        <w:rPr>
          <w:rFonts w:ascii="仿宋" w:hAnsi="仿宋" w:eastAsia="仿宋"/>
          <w:b/>
          <w:bCs/>
          <w:color w:val="000000"/>
          <w:kern w:val="0"/>
          <w:sz w:val="28"/>
          <w:szCs w:val="28"/>
        </w:rPr>
      </w:pPr>
      <w:r>
        <w:rPr>
          <w:rFonts w:hint="eastAsia" w:ascii="仿宋" w:hAnsi="仿宋" w:eastAsia="仿宋"/>
          <w:b/>
          <w:bCs/>
          <w:color w:val="000000"/>
          <w:kern w:val="0"/>
          <w:sz w:val="28"/>
          <w:szCs w:val="28"/>
        </w:rPr>
        <w:t>创新研究（预防医学赛道）</w:t>
      </w:r>
    </w:p>
    <w:tbl>
      <w:tblPr>
        <w:tblStyle w:val="6"/>
        <w:tblW w:w="957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0"/>
        <w:gridCol w:w="1170"/>
        <w:gridCol w:w="2745"/>
        <w:gridCol w:w="1530"/>
        <w:gridCol w:w="1005"/>
      </w:tblGrid>
      <w:tr w14:paraId="1961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3120" w:type="dxa"/>
            <w:tcBorders>
              <w:tl2br w:val="nil"/>
              <w:tr2bl w:val="nil"/>
            </w:tcBorders>
            <w:shd w:val="clear" w:color="auto" w:fill="auto"/>
            <w:noWrap/>
            <w:vAlign w:val="center"/>
          </w:tcPr>
          <w:p w14:paraId="1CE85210">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作品名称</w:t>
            </w:r>
          </w:p>
        </w:tc>
        <w:tc>
          <w:tcPr>
            <w:tcW w:w="1170" w:type="dxa"/>
            <w:tcBorders>
              <w:tl2br w:val="nil"/>
              <w:tr2bl w:val="nil"/>
            </w:tcBorders>
            <w:shd w:val="clear" w:color="auto" w:fill="auto"/>
            <w:noWrap/>
            <w:vAlign w:val="center"/>
          </w:tcPr>
          <w:p w14:paraId="52A49386">
            <w:pPr>
              <w:widowControl/>
              <w:jc w:val="center"/>
              <w:textAlignment w:val="center"/>
              <w:rPr>
                <w:rFonts w:ascii="黑体" w:hAnsi="宋体" w:eastAsia="黑体" w:cs="黑体"/>
                <w:color w:val="000000"/>
                <w:sz w:val="32"/>
                <w:szCs w:val="32"/>
              </w:rPr>
            </w:pPr>
            <w:r>
              <w:rPr>
                <w:rFonts w:hint="eastAsia" w:ascii="仿宋" w:hAnsi="仿宋" w:eastAsia="仿宋"/>
                <w:b/>
                <w:bCs/>
                <w:kern w:val="0"/>
                <w:sz w:val="32"/>
                <w:szCs w:val="32"/>
                <w:lang w:val="en-US" w:eastAsia="zh-CN"/>
              </w:rPr>
              <w:t>队长</w:t>
            </w:r>
          </w:p>
        </w:tc>
        <w:tc>
          <w:tcPr>
            <w:tcW w:w="2745" w:type="dxa"/>
            <w:tcBorders>
              <w:tl2br w:val="nil"/>
              <w:tr2bl w:val="nil"/>
            </w:tcBorders>
            <w:shd w:val="clear" w:color="auto" w:fill="auto"/>
            <w:noWrap/>
            <w:vAlign w:val="center"/>
          </w:tcPr>
          <w:p w14:paraId="2986D47A">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团队成员</w:t>
            </w:r>
          </w:p>
        </w:tc>
        <w:tc>
          <w:tcPr>
            <w:tcW w:w="1530" w:type="dxa"/>
            <w:tcBorders>
              <w:tl2br w:val="nil"/>
              <w:tr2bl w:val="nil"/>
            </w:tcBorders>
            <w:shd w:val="clear" w:color="auto" w:fill="auto"/>
            <w:noWrap/>
            <w:vAlign w:val="center"/>
          </w:tcPr>
          <w:p w14:paraId="785177F0">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21D2AE5A">
            <w:pPr>
              <w:widowControl/>
              <w:jc w:val="center"/>
              <w:textAlignment w:val="center"/>
              <w:rPr>
                <w:rFonts w:ascii="黑体" w:hAnsi="宋体" w:eastAsia="黑体" w:cs="黑体"/>
                <w:color w:val="000000"/>
                <w:sz w:val="32"/>
                <w:szCs w:val="32"/>
              </w:rPr>
            </w:pPr>
            <w:r>
              <w:rPr>
                <w:rFonts w:hint="eastAsia" w:ascii="仿宋" w:hAnsi="仿宋" w:eastAsia="仿宋"/>
                <w:b/>
                <w:bCs/>
                <w:sz w:val="32"/>
                <w:szCs w:val="32"/>
                <w:lang w:val="en-US" w:eastAsia="zh-CN"/>
              </w:rPr>
              <w:t>老师</w:t>
            </w:r>
          </w:p>
        </w:tc>
        <w:tc>
          <w:tcPr>
            <w:tcW w:w="1005" w:type="dxa"/>
            <w:tcBorders>
              <w:tl2br w:val="nil"/>
              <w:tr2bl w:val="nil"/>
            </w:tcBorders>
            <w:shd w:val="clear" w:color="auto" w:fill="auto"/>
            <w:noWrap/>
            <w:vAlign w:val="center"/>
          </w:tcPr>
          <w:p w14:paraId="2DB18040">
            <w:pPr>
              <w:widowControl/>
              <w:jc w:val="center"/>
              <w:textAlignment w:val="center"/>
              <w:rPr>
                <w:rFonts w:ascii="黑体" w:hAnsi="宋体" w:eastAsia="黑体" w:cs="黑体"/>
                <w:color w:val="000000"/>
                <w:sz w:val="32"/>
                <w:szCs w:val="32"/>
              </w:rPr>
            </w:pPr>
            <w:r>
              <w:rPr>
                <w:rFonts w:ascii="仿宋" w:hAnsi="仿宋" w:eastAsia="仿宋"/>
                <w:b/>
                <w:bCs/>
                <w:sz w:val="32"/>
                <w:szCs w:val="32"/>
              </w:rPr>
              <w:t>校赛获奖</w:t>
            </w:r>
          </w:p>
        </w:tc>
      </w:tr>
      <w:tr w14:paraId="7041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120" w:type="dxa"/>
            <w:tcBorders>
              <w:tl2br w:val="nil"/>
              <w:tr2bl w:val="nil"/>
            </w:tcBorders>
            <w:shd w:val="clear" w:color="auto" w:fill="auto"/>
            <w:noWrap/>
            <w:vAlign w:val="center"/>
          </w:tcPr>
          <w:p w14:paraId="30C88527">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基于双靶点机制的新型杂合抗菌肽FPON的抗菌活性及败血症治疗潜力研究</w:t>
            </w:r>
          </w:p>
        </w:tc>
        <w:tc>
          <w:tcPr>
            <w:tcW w:w="1170" w:type="dxa"/>
            <w:tcBorders>
              <w:tl2br w:val="nil"/>
              <w:tr2bl w:val="nil"/>
            </w:tcBorders>
            <w:shd w:val="clear" w:color="FFFFFF" w:fill="FFFFFF"/>
            <w:noWrap/>
            <w:vAlign w:val="center"/>
          </w:tcPr>
          <w:p w14:paraId="0CCF4108">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钟炜</w:t>
            </w:r>
          </w:p>
        </w:tc>
        <w:tc>
          <w:tcPr>
            <w:tcW w:w="2745" w:type="dxa"/>
            <w:tcBorders>
              <w:tl2br w:val="nil"/>
              <w:tr2bl w:val="nil"/>
            </w:tcBorders>
            <w:shd w:val="clear" w:color="FFFFFF" w:fill="FFFFFF"/>
            <w:noWrap/>
            <w:vAlign w:val="center"/>
          </w:tcPr>
          <w:p w14:paraId="7A715305">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过睿颖</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孔纤纤</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欧阳浩欣</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吴哲豪</w:t>
            </w:r>
          </w:p>
        </w:tc>
        <w:tc>
          <w:tcPr>
            <w:tcW w:w="1530" w:type="dxa"/>
            <w:tcBorders>
              <w:tl2br w:val="nil"/>
              <w:tr2bl w:val="nil"/>
            </w:tcBorders>
            <w:shd w:val="clear" w:color="auto" w:fill="auto"/>
            <w:noWrap/>
            <w:vAlign w:val="center"/>
          </w:tcPr>
          <w:p w14:paraId="1F8348B1">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钟立鹏</w:t>
            </w:r>
            <w:r>
              <w:rPr>
                <w:rFonts w:hint="eastAsia" w:ascii="仿宋" w:hAnsi="仿宋" w:eastAsia="仿宋" w:cs="仿宋"/>
                <w:color w:val="000000"/>
                <w:kern w:val="0"/>
                <w:sz w:val="24"/>
                <w:szCs w:val="24"/>
                <w:lang w:eastAsia="zh-CN"/>
              </w:rPr>
              <w:t>，黄春洪</w:t>
            </w:r>
          </w:p>
        </w:tc>
        <w:tc>
          <w:tcPr>
            <w:tcW w:w="1005" w:type="dxa"/>
            <w:tcBorders>
              <w:tl2br w:val="nil"/>
              <w:tr2bl w:val="nil"/>
            </w:tcBorders>
            <w:shd w:val="clear" w:color="auto" w:fill="auto"/>
            <w:vAlign w:val="center"/>
          </w:tcPr>
          <w:p w14:paraId="0FD1A933">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18A7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120" w:type="dxa"/>
            <w:tcBorders>
              <w:tl2br w:val="nil"/>
              <w:tr2bl w:val="nil"/>
            </w:tcBorders>
            <w:shd w:val="clear" w:color="auto" w:fill="auto"/>
            <w:noWrap/>
            <w:vAlign w:val="center"/>
          </w:tcPr>
          <w:p w14:paraId="47351994">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基于临床生物标志物的生物衰老与重大疾病患者无病生存年及未来健康风险的关联：一项来自中国和英国的多队列研究</w:t>
            </w:r>
          </w:p>
        </w:tc>
        <w:tc>
          <w:tcPr>
            <w:tcW w:w="1170" w:type="dxa"/>
            <w:tcBorders>
              <w:tl2br w:val="nil"/>
              <w:tr2bl w:val="nil"/>
            </w:tcBorders>
            <w:shd w:val="clear" w:color="FFFFFF" w:fill="FFFFFF"/>
            <w:noWrap/>
            <w:vAlign w:val="center"/>
          </w:tcPr>
          <w:p w14:paraId="5BD13CB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周瀚</w:t>
            </w:r>
          </w:p>
        </w:tc>
        <w:tc>
          <w:tcPr>
            <w:tcW w:w="2745" w:type="dxa"/>
            <w:tcBorders>
              <w:tl2br w:val="nil"/>
              <w:tr2bl w:val="nil"/>
            </w:tcBorders>
            <w:shd w:val="clear" w:color="FFFFFF" w:fill="FFFFFF"/>
            <w:noWrap/>
            <w:vAlign w:val="center"/>
          </w:tcPr>
          <w:p w14:paraId="1DAA9EB1">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杨晗</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张涵宾</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邓力铭</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陈佳蕊</w:t>
            </w:r>
          </w:p>
        </w:tc>
        <w:tc>
          <w:tcPr>
            <w:tcW w:w="1530" w:type="dxa"/>
            <w:tcBorders>
              <w:tl2br w:val="nil"/>
              <w:tr2bl w:val="nil"/>
            </w:tcBorders>
            <w:shd w:val="clear" w:color="auto" w:fill="auto"/>
            <w:noWrap/>
            <w:vAlign w:val="center"/>
          </w:tcPr>
          <w:p w14:paraId="234D0401">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戴西件</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刘碧霞</w:t>
            </w:r>
          </w:p>
        </w:tc>
        <w:tc>
          <w:tcPr>
            <w:tcW w:w="1005" w:type="dxa"/>
            <w:tcBorders>
              <w:tl2br w:val="nil"/>
              <w:tr2bl w:val="nil"/>
            </w:tcBorders>
            <w:shd w:val="clear" w:color="auto" w:fill="auto"/>
            <w:vAlign w:val="center"/>
          </w:tcPr>
          <w:p w14:paraId="1C5ED688">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7C8F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120" w:type="dxa"/>
            <w:tcBorders>
              <w:tl2br w:val="nil"/>
              <w:tr2bl w:val="nil"/>
            </w:tcBorders>
            <w:shd w:val="clear" w:color="auto" w:fill="auto"/>
            <w:noWrap/>
            <w:vAlign w:val="center"/>
          </w:tcPr>
          <w:p w14:paraId="45E335D3">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英国生物库中患有和未患有重大慢性疾病人群的生物老化与死亡风险和预期寿命的关系</w:t>
            </w:r>
          </w:p>
        </w:tc>
        <w:tc>
          <w:tcPr>
            <w:tcW w:w="1170" w:type="dxa"/>
            <w:tcBorders>
              <w:tl2br w:val="nil"/>
              <w:tr2bl w:val="nil"/>
            </w:tcBorders>
            <w:shd w:val="clear" w:color="FFFFFF" w:fill="FFFFFF"/>
            <w:noWrap/>
            <w:vAlign w:val="center"/>
          </w:tcPr>
          <w:p w14:paraId="7796045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张铮</w:t>
            </w:r>
          </w:p>
        </w:tc>
        <w:tc>
          <w:tcPr>
            <w:tcW w:w="2745" w:type="dxa"/>
            <w:tcBorders>
              <w:tl2br w:val="nil"/>
              <w:tr2bl w:val="nil"/>
            </w:tcBorders>
            <w:shd w:val="clear" w:color="FFFFFF" w:fill="FFFFFF"/>
            <w:noWrap/>
            <w:vAlign w:val="center"/>
          </w:tcPr>
          <w:p w14:paraId="50787012">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陈翔</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万良勇</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庄之帆</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向钊辉</w:t>
            </w:r>
          </w:p>
        </w:tc>
        <w:tc>
          <w:tcPr>
            <w:tcW w:w="1530" w:type="dxa"/>
            <w:tcBorders>
              <w:tl2br w:val="nil"/>
              <w:tr2bl w:val="nil"/>
            </w:tcBorders>
            <w:shd w:val="clear" w:color="auto" w:fill="auto"/>
            <w:noWrap/>
            <w:vAlign w:val="center"/>
          </w:tcPr>
          <w:p w14:paraId="68184B33">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戴西件</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刘碧霞</w:t>
            </w:r>
          </w:p>
        </w:tc>
        <w:tc>
          <w:tcPr>
            <w:tcW w:w="1005" w:type="dxa"/>
            <w:tcBorders>
              <w:tl2br w:val="nil"/>
              <w:tr2bl w:val="nil"/>
            </w:tcBorders>
            <w:shd w:val="clear" w:color="auto" w:fill="auto"/>
            <w:vAlign w:val="center"/>
          </w:tcPr>
          <w:p w14:paraId="78409BC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6C48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120" w:type="dxa"/>
            <w:tcBorders>
              <w:tl2br w:val="nil"/>
              <w:tr2bl w:val="nil"/>
            </w:tcBorders>
            <w:shd w:val="clear" w:color="auto" w:fill="auto"/>
            <w:noWrap/>
            <w:vAlign w:val="center"/>
          </w:tcPr>
          <w:p w14:paraId="3394F00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Akkermansia菌介导辛辣膳食性别特异性抗抑郁作用</w:t>
            </w:r>
          </w:p>
        </w:tc>
        <w:tc>
          <w:tcPr>
            <w:tcW w:w="1170" w:type="dxa"/>
            <w:tcBorders>
              <w:tl2br w:val="nil"/>
              <w:tr2bl w:val="nil"/>
            </w:tcBorders>
            <w:shd w:val="clear" w:color="FFFFFF" w:fill="FFFFFF"/>
            <w:noWrap/>
            <w:vAlign w:val="center"/>
          </w:tcPr>
          <w:p w14:paraId="003758A3">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李嘉桐</w:t>
            </w:r>
          </w:p>
        </w:tc>
        <w:tc>
          <w:tcPr>
            <w:tcW w:w="2745" w:type="dxa"/>
            <w:tcBorders>
              <w:tl2br w:val="nil"/>
              <w:tr2bl w:val="nil"/>
            </w:tcBorders>
            <w:shd w:val="clear" w:color="FFFFFF" w:fill="FFFFFF"/>
            <w:noWrap/>
            <w:vAlign w:val="center"/>
          </w:tcPr>
          <w:p w14:paraId="7DDFA7E8">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张俊涵</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付昊昱</w:t>
            </w:r>
          </w:p>
        </w:tc>
        <w:tc>
          <w:tcPr>
            <w:tcW w:w="1530" w:type="dxa"/>
            <w:tcBorders>
              <w:tl2br w:val="nil"/>
              <w:tr2bl w:val="nil"/>
            </w:tcBorders>
            <w:shd w:val="clear" w:color="auto" w:fill="auto"/>
            <w:noWrap/>
            <w:vAlign w:val="center"/>
          </w:tcPr>
          <w:p w14:paraId="5218D77C">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罗丹</w:t>
            </w:r>
          </w:p>
        </w:tc>
        <w:tc>
          <w:tcPr>
            <w:tcW w:w="1005" w:type="dxa"/>
            <w:tcBorders>
              <w:tl2br w:val="nil"/>
              <w:tr2bl w:val="nil"/>
            </w:tcBorders>
            <w:shd w:val="clear" w:color="auto" w:fill="auto"/>
            <w:vAlign w:val="center"/>
          </w:tcPr>
          <w:p w14:paraId="412B5919">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r w14:paraId="79FD0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570" w:type="dxa"/>
            <w:gridSpan w:val="5"/>
            <w:tcBorders>
              <w:top w:val="nil"/>
              <w:left w:val="nil"/>
              <w:bottom w:val="nil"/>
              <w:right w:val="nil"/>
            </w:tcBorders>
            <w:shd w:val="clear" w:color="auto" w:fill="auto"/>
            <w:noWrap/>
            <w:vAlign w:val="center"/>
          </w:tcPr>
          <w:p w14:paraId="63699C74">
            <w:pPr>
              <w:widowControl/>
              <w:spacing w:beforeLines="50" w:afterLines="50"/>
              <w:jc w:val="center"/>
              <w:textAlignment w:val="center"/>
              <w:rPr>
                <w:rFonts w:ascii="宋体" w:hAnsi="宋体" w:cs="宋体"/>
                <w:b/>
                <w:bCs/>
                <w:color w:val="000000"/>
                <w:sz w:val="28"/>
                <w:szCs w:val="28"/>
              </w:rPr>
            </w:pPr>
            <w:r>
              <w:rPr>
                <w:rFonts w:hint="eastAsia" w:ascii="仿宋" w:hAnsi="仿宋" w:eastAsia="仿宋"/>
                <w:b/>
                <w:bCs/>
                <w:color w:val="000000"/>
                <w:kern w:val="0"/>
                <w:sz w:val="28"/>
                <w:szCs w:val="28"/>
              </w:rPr>
              <w:t>实验设计（预防医学赛道）</w:t>
            </w:r>
          </w:p>
        </w:tc>
      </w:tr>
      <w:tr w14:paraId="5D431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3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7358">
            <w:pPr>
              <w:widowControl/>
              <w:jc w:val="center"/>
              <w:textAlignment w:val="center"/>
              <w:rPr>
                <w:rFonts w:ascii="黑体" w:hAnsi="宋体" w:eastAsia="黑体" w:cs="黑体"/>
                <w:sz w:val="32"/>
                <w:szCs w:val="32"/>
              </w:rPr>
            </w:pPr>
            <w:r>
              <w:rPr>
                <w:rFonts w:hint="eastAsia" w:ascii="仿宋" w:hAnsi="仿宋" w:eastAsia="仿宋"/>
                <w:b/>
                <w:bCs/>
                <w:kern w:val="0"/>
                <w:sz w:val="32"/>
                <w:szCs w:val="32"/>
                <w:lang w:val="en-US" w:eastAsia="zh-CN"/>
              </w:rPr>
              <w:t>作品名称</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08B2">
            <w:pPr>
              <w:widowControl/>
              <w:jc w:val="center"/>
              <w:textAlignment w:val="center"/>
              <w:rPr>
                <w:rFonts w:ascii="黑体" w:hAnsi="宋体" w:eastAsia="黑体" w:cs="黑体"/>
                <w:sz w:val="32"/>
                <w:szCs w:val="32"/>
              </w:rPr>
            </w:pPr>
            <w:r>
              <w:rPr>
                <w:rFonts w:hint="eastAsia" w:ascii="仿宋" w:hAnsi="仿宋" w:eastAsia="仿宋"/>
                <w:b/>
                <w:bCs/>
                <w:kern w:val="0"/>
                <w:sz w:val="32"/>
                <w:szCs w:val="32"/>
                <w:lang w:val="en-US" w:eastAsia="zh-CN"/>
              </w:rPr>
              <w:t>队长</w:t>
            </w:r>
          </w:p>
        </w:tc>
        <w:tc>
          <w:tcPr>
            <w:tcW w:w="2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3D5A">
            <w:pPr>
              <w:widowControl/>
              <w:jc w:val="center"/>
              <w:textAlignment w:val="center"/>
              <w:rPr>
                <w:rFonts w:ascii="黑体" w:hAnsi="宋体" w:eastAsia="黑体" w:cs="黑体"/>
                <w:sz w:val="32"/>
                <w:szCs w:val="32"/>
              </w:rPr>
            </w:pPr>
            <w:r>
              <w:rPr>
                <w:rFonts w:hint="eastAsia" w:ascii="仿宋" w:hAnsi="仿宋" w:eastAsia="仿宋"/>
                <w:b/>
                <w:bCs/>
                <w:sz w:val="32"/>
                <w:szCs w:val="32"/>
                <w:lang w:val="en-US" w:eastAsia="zh-CN"/>
              </w:rPr>
              <w:t>团队成员</w:t>
            </w:r>
          </w:p>
        </w:tc>
        <w:tc>
          <w:tcPr>
            <w:tcW w:w="153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642FC7">
            <w:pPr>
              <w:widowControl/>
              <w:jc w:val="center"/>
              <w:textAlignment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指导</w:t>
            </w:r>
          </w:p>
          <w:p w14:paraId="56C47D38">
            <w:pPr>
              <w:widowControl/>
              <w:jc w:val="center"/>
              <w:textAlignment w:val="center"/>
              <w:rPr>
                <w:rFonts w:ascii="黑体" w:hAnsi="宋体" w:eastAsia="黑体" w:cs="黑体"/>
                <w:sz w:val="32"/>
                <w:szCs w:val="32"/>
              </w:rPr>
            </w:pPr>
            <w:r>
              <w:rPr>
                <w:rFonts w:hint="eastAsia" w:ascii="仿宋" w:hAnsi="仿宋" w:eastAsia="仿宋"/>
                <w:b/>
                <w:bCs/>
                <w:sz w:val="32"/>
                <w:szCs w:val="32"/>
                <w:lang w:val="en-US" w:eastAsia="zh-CN"/>
              </w:rPr>
              <w:t>老师</w:t>
            </w:r>
          </w:p>
        </w:tc>
        <w:tc>
          <w:tcPr>
            <w:tcW w:w="100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A3F5A5">
            <w:pPr>
              <w:widowControl/>
              <w:jc w:val="center"/>
              <w:textAlignment w:val="center"/>
              <w:rPr>
                <w:rFonts w:ascii="黑体" w:hAnsi="宋体" w:eastAsia="黑体" w:cs="黑体"/>
                <w:sz w:val="32"/>
                <w:szCs w:val="32"/>
              </w:rPr>
            </w:pPr>
            <w:r>
              <w:rPr>
                <w:rFonts w:ascii="仿宋" w:hAnsi="仿宋" w:eastAsia="仿宋"/>
                <w:b/>
                <w:bCs/>
                <w:sz w:val="32"/>
                <w:szCs w:val="32"/>
              </w:rPr>
              <w:t>校赛获奖</w:t>
            </w:r>
          </w:p>
        </w:tc>
      </w:tr>
      <w:tr w14:paraId="4E198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51CD55FB">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基于铕基金属有机框架（EuMOF）构建比率荧光/比色双模态传感器用于实时食品新鲜度监测和额外保鲜</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0E2773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钟文</w:t>
            </w:r>
          </w:p>
        </w:tc>
        <w:tc>
          <w:tcPr>
            <w:tcW w:w="274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68E55939">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邱光洪</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段博珩</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鲁泓嫣</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魏宇轩</w:t>
            </w:r>
          </w:p>
        </w:tc>
        <w:tc>
          <w:tcPr>
            <w:tcW w:w="1530" w:type="dxa"/>
            <w:tcBorders>
              <w:top w:val="single" w:color="auto" w:sz="4" w:space="0"/>
              <w:left w:val="single" w:color="auto" w:sz="4" w:space="0"/>
              <w:right w:val="single" w:color="auto" w:sz="4" w:space="0"/>
            </w:tcBorders>
            <w:shd w:val="clear" w:color="FFFFFF" w:fill="FFFFFF"/>
            <w:noWrap/>
            <w:vAlign w:val="center"/>
          </w:tcPr>
          <w:p w14:paraId="1E301972">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王小磊</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郑莉萍</w:t>
            </w:r>
          </w:p>
        </w:tc>
        <w:tc>
          <w:tcPr>
            <w:tcW w:w="1005" w:type="dxa"/>
            <w:tcBorders>
              <w:top w:val="single" w:color="auto" w:sz="4" w:space="0"/>
              <w:left w:val="single" w:color="auto" w:sz="4" w:space="0"/>
              <w:right w:val="single" w:color="auto" w:sz="4" w:space="0"/>
            </w:tcBorders>
            <w:shd w:val="clear" w:color="auto" w:fill="auto"/>
            <w:vAlign w:val="center"/>
          </w:tcPr>
          <w:p w14:paraId="6A20D989">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一等奖</w:t>
            </w:r>
          </w:p>
        </w:tc>
      </w:tr>
      <w:tr w14:paraId="32640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D94BD35">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糖酵解限速酶GAPDHS巴豆酰化调控精子运动的机制研究</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224B6C81">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蒋钰琳</w:t>
            </w:r>
          </w:p>
        </w:tc>
        <w:tc>
          <w:tcPr>
            <w:tcW w:w="274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45B53559">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付其雯</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谢浩宇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龙冠芳</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叶静</w:t>
            </w:r>
          </w:p>
        </w:tc>
        <w:tc>
          <w:tcPr>
            <w:tcW w:w="153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1EF8B2C">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陈莹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李佳</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8FFECF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3DD2E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BED850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葡萄糖酸锌通过抑制TLR4/NF-κB信号通路缓解奥沙利铂诱导的</w:t>
            </w:r>
          </w:p>
          <w:p w14:paraId="462EA36A">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小鼠肺纤维化的作用及机制研究</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4313B0AE">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王一安</w:t>
            </w:r>
          </w:p>
        </w:tc>
        <w:tc>
          <w:tcPr>
            <w:tcW w:w="274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34503CEE">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孙思莹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陈宇雄</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陈赣</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王家圻</w:t>
            </w:r>
          </w:p>
        </w:tc>
        <w:tc>
          <w:tcPr>
            <w:tcW w:w="1530" w:type="dxa"/>
            <w:tcBorders>
              <w:top w:val="single" w:color="auto" w:sz="4" w:space="0"/>
              <w:left w:val="single" w:color="auto" w:sz="4" w:space="0"/>
              <w:right w:val="single" w:color="auto" w:sz="4" w:space="0"/>
            </w:tcBorders>
            <w:shd w:val="clear" w:color="FFFFFF" w:fill="FFFFFF"/>
            <w:noWrap/>
            <w:vAlign w:val="center"/>
          </w:tcPr>
          <w:p w14:paraId="76D9B9D8">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罗琪</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康路妹</w:t>
            </w:r>
          </w:p>
        </w:tc>
        <w:tc>
          <w:tcPr>
            <w:tcW w:w="1005" w:type="dxa"/>
            <w:tcBorders>
              <w:top w:val="single" w:color="auto" w:sz="4" w:space="0"/>
              <w:left w:val="single" w:color="auto" w:sz="4" w:space="0"/>
              <w:right w:val="single" w:color="auto" w:sz="4" w:space="0"/>
            </w:tcBorders>
            <w:shd w:val="clear" w:color="auto" w:fill="auto"/>
            <w:vAlign w:val="center"/>
          </w:tcPr>
          <w:p w14:paraId="3726E545">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738B5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014B9E12">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身体圆度指数与膀胱过度活动症的关系——基于 NHANES 数据库的大样本横断面研究</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36BF15FF">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王启贤</w:t>
            </w:r>
          </w:p>
        </w:tc>
        <w:tc>
          <w:tcPr>
            <w:tcW w:w="274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17D0C596">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谢春锋</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陈采薇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樊子悦</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鄢俊豪</w:t>
            </w:r>
          </w:p>
        </w:tc>
        <w:tc>
          <w:tcPr>
            <w:tcW w:w="153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079F984C">
            <w:pPr>
              <w:jc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rPr>
              <w:t>周莹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邓胜昌</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1A0B3EC">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二等奖</w:t>
            </w:r>
          </w:p>
        </w:tc>
      </w:tr>
      <w:tr w14:paraId="419E8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12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BBF495D">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基于孟德尔随机化及多组学数据探究MTHFR - HCY通路与双相情感障碍因果关联及群体分布特征</w:t>
            </w:r>
          </w:p>
        </w:tc>
        <w:tc>
          <w:tcPr>
            <w:tcW w:w="1170" w:type="dxa"/>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1B1BC8F3">
            <w:pPr>
              <w:widowControl/>
              <w:jc w:val="center"/>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张笑尘</w:t>
            </w:r>
          </w:p>
        </w:tc>
        <w:tc>
          <w:tcPr>
            <w:tcW w:w="2745" w:type="dxa"/>
            <w:tcBorders>
              <w:top w:val="single" w:color="000000" w:sz="4" w:space="0"/>
              <w:left w:val="single" w:color="000000" w:sz="4" w:space="0"/>
              <w:bottom w:val="single" w:color="000000" w:sz="4" w:space="0"/>
              <w:right w:val="single" w:color="auto" w:sz="4" w:space="0"/>
            </w:tcBorders>
            <w:shd w:val="clear" w:color="FFFFFF" w:fill="FFFFFF"/>
            <w:noWrap/>
            <w:vAlign w:val="center"/>
          </w:tcPr>
          <w:p w14:paraId="41914757">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徐星宇</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古之韵</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王晴</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高宝蕊</w:t>
            </w:r>
          </w:p>
        </w:tc>
        <w:tc>
          <w:tcPr>
            <w:tcW w:w="1530" w:type="dxa"/>
            <w:tcBorders>
              <w:top w:val="single" w:color="auto" w:sz="4" w:space="0"/>
              <w:left w:val="single" w:color="auto" w:sz="4" w:space="0"/>
              <w:bottom w:val="single" w:color="auto" w:sz="4" w:space="0"/>
              <w:right w:val="single" w:color="auto" w:sz="4" w:space="0"/>
            </w:tcBorders>
            <w:shd w:val="clear" w:color="FFFFFF" w:fill="FFFFFF"/>
            <w:noWrap/>
            <w:vAlign w:val="center"/>
          </w:tcPr>
          <w:p w14:paraId="1836B44E">
            <w:pPr>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鄢敏</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213E77F">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三等奖</w:t>
            </w:r>
          </w:p>
        </w:tc>
      </w:tr>
    </w:tbl>
    <w:p w14:paraId="58B9E3C2">
      <w:pPr>
        <w:snapToGrid w:val="0"/>
        <w:spacing w:line="360" w:lineRule="auto"/>
        <w:rPr>
          <w:rFonts w:ascii="黑体" w:hAnsi="黑体" w:eastAsia="黑体" w:cs="黑体"/>
          <w:b/>
          <w:spacing w:val="-6"/>
          <w:kern w:val="0"/>
          <w:sz w:val="24"/>
          <w:szCs w:val="24"/>
        </w:rPr>
      </w:pPr>
    </w:p>
    <w:p w14:paraId="65F1CC02">
      <w:pPr>
        <w:snapToGrid w:val="0"/>
        <w:spacing w:line="360" w:lineRule="auto"/>
        <w:ind w:left="689" w:leftChars="328"/>
        <w:rPr>
          <w:rFonts w:eastAsia="仿宋"/>
          <w:sz w:val="24"/>
          <w:szCs w:val="24"/>
        </w:rPr>
      </w:pPr>
    </w:p>
    <w:p w14:paraId="1D5606B4">
      <w:pPr>
        <w:snapToGrid w:val="0"/>
        <w:spacing w:line="360" w:lineRule="auto"/>
        <w:ind w:left="689" w:leftChars="328"/>
        <w:rPr>
          <w:rFonts w:eastAsia="仿宋"/>
          <w:sz w:val="24"/>
          <w:szCs w:val="24"/>
        </w:rPr>
      </w:pPr>
    </w:p>
    <w:p w14:paraId="71A7EE8E">
      <w:pPr>
        <w:snapToGrid w:val="0"/>
        <w:spacing w:line="360" w:lineRule="auto"/>
        <w:ind w:left="689" w:leftChars="328" w:firstLine="5341" w:firstLineChars="1900"/>
        <w:rPr>
          <w:rFonts w:eastAsia="仿宋"/>
          <w:b/>
          <w:bCs/>
          <w:sz w:val="28"/>
          <w:szCs w:val="28"/>
        </w:rPr>
      </w:pPr>
    </w:p>
    <w:sectPr>
      <w:footerReference r:id="rId3" w:type="default"/>
      <w:pgSz w:w="11906" w:h="16838"/>
      <w:pgMar w:top="1361" w:right="1406" w:bottom="1270" w:left="129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B41AA8-7CE4-485B-BFB8-581F9ABF3C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D218FE4-0621-4DB0-897C-AAC93F776BB4}"/>
  </w:font>
  <w:font w:name="仿宋">
    <w:panose1 w:val="02010609060101010101"/>
    <w:charset w:val="86"/>
    <w:family w:val="modern"/>
    <w:pitch w:val="default"/>
    <w:sig w:usb0="800002BF" w:usb1="38CF7CFA" w:usb2="00000016" w:usb3="00000000" w:csb0="00040001" w:csb1="00000000"/>
    <w:embedRegular r:id="rId3" w:fontKey="{BFFC8EA3-9D60-49D6-8D73-128CD0AAFA6B}"/>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94309">
    <w:pPr>
      <w:spacing w:line="167" w:lineRule="auto"/>
      <w:ind w:left="4311"/>
      <w:rPr>
        <w:rFonts w:ascii="Calibri" w:hAnsi="Calibri" w:eastAsia="Calibri" w:cs="Calibri"/>
        <w:sz w:val="18"/>
        <w:szCs w:val="18"/>
      </w:rPr>
    </w:pPr>
    <w:r>
      <w:rPr>
        <w:rFonts w:ascii="Calibri" w:hAnsi="Calibri" w:eastAsia="Calibri" w:cs="Calibri"/>
        <w:sz w:val="18"/>
        <w:szCs w:val="18"/>
      </w:rPr>
      <w:t>8</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ZjhkNjY4ODM0NWRiODc2YjY3MDEwYWY1ODQ2ZmMifQ=="/>
  </w:docVars>
  <w:rsids>
    <w:rsidRoot w:val="00304649"/>
    <w:rsid w:val="000E016B"/>
    <w:rsid w:val="000F526F"/>
    <w:rsid w:val="00114251"/>
    <w:rsid w:val="00142560"/>
    <w:rsid w:val="00192BAD"/>
    <w:rsid w:val="00226762"/>
    <w:rsid w:val="002A6477"/>
    <w:rsid w:val="00304649"/>
    <w:rsid w:val="00500020"/>
    <w:rsid w:val="005A39B1"/>
    <w:rsid w:val="005D3E93"/>
    <w:rsid w:val="00644ACF"/>
    <w:rsid w:val="00660F4A"/>
    <w:rsid w:val="00691EFD"/>
    <w:rsid w:val="00717978"/>
    <w:rsid w:val="00773F51"/>
    <w:rsid w:val="00991F6B"/>
    <w:rsid w:val="00995383"/>
    <w:rsid w:val="00AB1450"/>
    <w:rsid w:val="00AE1EE6"/>
    <w:rsid w:val="00AE4854"/>
    <w:rsid w:val="00AF531A"/>
    <w:rsid w:val="00B22332"/>
    <w:rsid w:val="00B46062"/>
    <w:rsid w:val="00B973DA"/>
    <w:rsid w:val="00BC2899"/>
    <w:rsid w:val="00BF1758"/>
    <w:rsid w:val="00C352CA"/>
    <w:rsid w:val="00C41CDB"/>
    <w:rsid w:val="00C67DB5"/>
    <w:rsid w:val="00CA53EC"/>
    <w:rsid w:val="00D061AB"/>
    <w:rsid w:val="00D07202"/>
    <w:rsid w:val="00D603D0"/>
    <w:rsid w:val="00D74403"/>
    <w:rsid w:val="00EB56FA"/>
    <w:rsid w:val="00FF105B"/>
    <w:rsid w:val="04C51D20"/>
    <w:rsid w:val="07D055F4"/>
    <w:rsid w:val="09063A89"/>
    <w:rsid w:val="098B17D5"/>
    <w:rsid w:val="0A243338"/>
    <w:rsid w:val="0B5C0E7C"/>
    <w:rsid w:val="0B9E301B"/>
    <w:rsid w:val="184D0335"/>
    <w:rsid w:val="19F578EF"/>
    <w:rsid w:val="1DC04E5D"/>
    <w:rsid w:val="1E2F7104"/>
    <w:rsid w:val="1EAB125F"/>
    <w:rsid w:val="21CD0C84"/>
    <w:rsid w:val="226A6177"/>
    <w:rsid w:val="22DB5B2F"/>
    <w:rsid w:val="24341D04"/>
    <w:rsid w:val="257B25D7"/>
    <w:rsid w:val="25B8382C"/>
    <w:rsid w:val="27001AE1"/>
    <w:rsid w:val="27074F43"/>
    <w:rsid w:val="2B1A07CC"/>
    <w:rsid w:val="2D12666C"/>
    <w:rsid w:val="31EB746F"/>
    <w:rsid w:val="33CD431A"/>
    <w:rsid w:val="36DB3C87"/>
    <w:rsid w:val="38966328"/>
    <w:rsid w:val="39F7237A"/>
    <w:rsid w:val="3B243095"/>
    <w:rsid w:val="3B752AC0"/>
    <w:rsid w:val="40683234"/>
    <w:rsid w:val="42404541"/>
    <w:rsid w:val="435231E3"/>
    <w:rsid w:val="473C4CAD"/>
    <w:rsid w:val="489A7BDE"/>
    <w:rsid w:val="4DC56D28"/>
    <w:rsid w:val="4EC444FE"/>
    <w:rsid w:val="4F943C0B"/>
    <w:rsid w:val="52100AA2"/>
    <w:rsid w:val="5C86754E"/>
    <w:rsid w:val="628F7077"/>
    <w:rsid w:val="66BB0390"/>
    <w:rsid w:val="66D94484"/>
    <w:rsid w:val="67C310A6"/>
    <w:rsid w:val="67FE782C"/>
    <w:rsid w:val="6F8540EA"/>
    <w:rsid w:val="6FA75E5D"/>
    <w:rsid w:val="6FF957E3"/>
    <w:rsid w:val="70E121B7"/>
    <w:rsid w:val="72473609"/>
    <w:rsid w:val="744F4314"/>
    <w:rsid w:val="7ABA5494"/>
    <w:rsid w:val="7B226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22"/>
    <w:rPr>
      <w:b/>
    </w:rPr>
  </w:style>
  <w:style w:type="paragraph" w:styleId="9">
    <w:name w:val="List Paragraph"/>
    <w:basedOn w:val="1"/>
    <w:qFormat/>
    <w:uiPriority w:val="1"/>
    <w:pPr>
      <w:spacing w:before="110"/>
      <w:ind w:left="2008" w:hanging="528"/>
    </w:pPr>
    <w:rPr>
      <w:rFonts w:ascii="仿宋" w:hAnsi="仿宋" w:eastAsia="仿宋" w:cs="仿宋"/>
      <w:szCs w:val="24"/>
      <w:lang w:val="zh-CN" w:bidi="zh-CN"/>
    </w:rPr>
  </w:style>
  <w:style w:type="paragraph" w:customStyle="1" w:styleId="10">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1">
    <w:name w:val="页眉 Char"/>
    <w:basedOn w:val="7"/>
    <w:link w:val="4"/>
    <w:semiHidden/>
    <w:qFormat/>
    <w:uiPriority w:val="99"/>
    <w:rPr>
      <w:kern w:val="2"/>
      <w:sz w:val="18"/>
      <w:szCs w:val="18"/>
    </w:rPr>
  </w:style>
  <w:style w:type="character" w:customStyle="1" w:styleId="12">
    <w:name w:val="页脚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Pages>
  <Words>5401</Words>
  <Characters>6175</Characters>
  <Lines>67</Lines>
  <Paragraphs>19</Paragraphs>
  <TotalTime>23</TotalTime>
  <ScaleCrop>false</ScaleCrop>
  <LinksUpToDate>false</LinksUpToDate>
  <CharactersWithSpaces>6224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2025-05-16T01:55:00Z</dcterms:created>
  <dc:creator>h</dc:creator>
  <cp:lastModifiedBy>QQ</cp:lastModifiedBy>
  <dcterms:modified xsi:type="dcterms:W3CDTF">2025-06-20T07:27:19Z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70EBC813338B4CF8A35FC28B33B34A2F_13</vt:lpwstr>
  </property>
  <property fmtid="{D5CDD505-2E9C-101B-9397-08002B2CF9AE}" pid="4" name="KSOTemplateDocerSaveRecord">
    <vt:lpwstr>eyJoZGlkIjoiMGZmMzgxNWRmZGUyMjZhMWUzYTY1NWFkOTFjNzYyNGIiLCJ1c2VySWQiOiI3ODEwMjk1NjIifQ==</vt:lpwstr>
  </property>
</Properties>
</file>