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720"/>
        </w:tabs>
        <w:snapToGrid w:val="0"/>
        <w:spacing w:line="300" w:lineRule="auto"/>
        <w:jc w:val="center"/>
        <w:rPr>
          <w:rFonts w:hint="eastAsia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第十四届全国大学生广告艺术大赛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南昌大学校赛</w:t>
      </w:r>
    </w:p>
    <w:p>
      <w:pPr>
        <w:widowControl/>
        <w:tabs>
          <w:tab w:val="left" w:pos="720"/>
        </w:tabs>
        <w:snapToGrid w:val="0"/>
        <w:spacing w:line="300" w:lineRule="auto"/>
        <w:jc w:val="center"/>
        <w:rPr>
          <w:rFonts w:hint="default" w:ascii="宋体" w:hAnsi="宋体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竞赛</w:t>
      </w:r>
      <w:r>
        <w:rPr>
          <w:rFonts w:hint="eastAsia" w:ascii="宋体" w:hAnsi="宋体" w:eastAsia="宋体" w:cs="Times New Roman"/>
          <w:b/>
          <w:sz w:val="36"/>
          <w:szCs w:val="36"/>
        </w:rPr>
        <w:t>评审标准及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评分规制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基本标准：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1.原创性：2.切题性；3.实效性：4.感染力；5.遵守国家法律、法规的规定，尊重民族文化和传统习俗。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不同类别作品需要具体考虑的标准：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1.平面广告类：需考虑广告创意、广告语与平面制作手段的完美结合。如有超出平面设计范畴、明显抄袭的作品，不应入选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2.影像类：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影视广告作品，需考虑广告创意、广告语、导演、表演、摄像、灯光、后期制作、剪辑、镜头组合节奏、配音等的完美结合，并考虑适播性。如有比例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较大</w:t>
      </w:r>
      <w:r>
        <w:rPr>
          <w:rFonts w:hint="eastAsia" w:ascii="仿宋_GB2312" w:hAnsi="仿宋_GB2312" w:eastAsia="仿宋_GB2312" w:cs="仿宋_GB2312"/>
          <w:sz w:val="32"/>
          <w:szCs w:val="32"/>
        </w:rPr>
        <w:t>的他人视频作品（非原创）剪辑进入作品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不应入选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微电影作品，需考虑网络传播可行性，作品以原创为主，同时也允许使用电影或电视剧桥段拼接、剪辑或配音，作品必须具有完整的情节，对命题品牌的诠释采用植入式而非直白叫卖式。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3.设计类作品，需考虑兼具艺术性与实用性的特点，要求必须附设计说明，设计说明部分的文字格式必须符合参赛要求，与要求差距过大者，不应入选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4.策划/文案类：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策划类作品，需考虑营销策略的针对性、原创性、实效性，并注意其市场调查是否合理规范，其广告创意设计、媒介策略的合理性等因素。如有过度包装、页数超过规定、较大比例字体、字号不符合规定者，不应入选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)</w:t>
      </w:r>
      <w:r>
        <w:rPr>
          <w:rFonts w:hint="eastAsia" w:ascii="仿宋_GB2312" w:hAnsi="仿宋_GB2312" w:eastAsia="仿宋_GB2312" w:cs="仿宋_GB2312"/>
          <w:sz w:val="32"/>
          <w:szCs w:val="32"/>
        </w:rPr>
        <w:t>文案类作品，需考虑命题企业策略单的具体要求。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5.移动交互类，需考虑作品在网络传播中的可行性与作品的趣味性，不应存在低俗、色情、暴力的负面内容。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6.其他类别，以各命题策略单要求为准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7.所有类别作品中，如果</w:t>
      </w:r>
      <w:r>
        <w:rPr>
          <w:rFonts w:hint="eastAsia" w:ascii="仿宋_GB2312" w:hAnsi="仿宋_GB2312" w:eastAsia="仿宋_GB2312" w:cs="仿宋_GB2312"/>
          <w:sz w:val="32"/>
          <w:szCs w:val="32"/>
        </w:rPr>
        <w:t>出现参赛学生及指导教师的院校、系、姓名，以及其他特殊标记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sz w:val="32"/>
          <w:szCs w:val="32"/>
        </w:rPr>
        <w:t>不应入选。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省赛推荐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数量规则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以省赛分配给予的数量进行裁定。</w:t>
      </w:r>
    </w:p>
    <w:p>
      <w:pP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竞赛评分细则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创意表现与原创性40%；切合命题策略40%；广告实效和可执行性20%。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校赛等级奖项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根据参赛作品数量，甄选一定百分比例的一、二、三等奖。</w:t>
      </w:r>
    </w:p>
    <w:p>
      <w:pP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MWYyODk3OGY3OWVhM2VlNzJkNzBmNzMxZGRiZWIifQ=="/>
  </w:docVars>
  <w:rsids>
    <w:rsidRoot w:val="00000000"/>
    <w:rsid w:val="0C837E63"/>
    <w:rsid w:val="232B3A37"/>
    <w:rsid w:val="4E400A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743</Words>
  <Characters>768</Characters>
  <Lines>0</Lines>
  <Paragraphs>0</Paragraphs>
  <TotalTime>1</TotalTime>
  <ScaleCrop>false</ScaleCrop>
  <LinksUpToDate>false</LinksUpToDate>
  <CharactersWithSpaces>804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2022-05-24T21:42:00Z</dcterms:created>
  <dc:creator>彭可的iPad</dc:creator>
  <cp:lastModifiedBy>列子汤</cp:lastModifiedBy>
  <dcterms:modified xsi:type="dcterms:W3CDTF">2022-05-25T02:08:44Z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F7FBCD11D6DC953BB1E08C627B5C5794</vt:lpwstr>
  </property>
</Properties>
</file>