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sz w:val="44"/>
          <w:szCs w:val="44"/>
        </w:rPr>
      </w:pPr>
      <w:r>
        <w:rPr>
          <w:rFonts w:ascii="方正小标宋简体" w:hAnsi="方正小标宋简体"/>
          <w:sz w:val="44"/>
          <w:szCs w:val="44"/>
        </w:rPr>
        <w:t>教师个人简介</w:t>
      </w:r>
    </w:p>
    <w:p>
      <w:pPr>
        <w:spacing w:before="156" w:beforeLines="50" w:after="156" w:afterLines="50"/>
        <w:rPr>
          <w:rFonts w:ascii="黑体" w:hAnsi="黑体" w:eastAsia="黑体"/>
          <w:sz w:val="28"/>
          <w:szCs w:val="28"/>
        </w:rPr>
      </w:pPr>
      <w:r>
        <w:rPr>
          <w:rFonts w:hint="eastAsia" w:ascii="黑体" w:hAnsi="黑体" w:eastAsia="黑体"/>
          <w:sz w:val="28"/>
          <w:szCs w:val="28"/>
        </w:rPr>
        <w:t>一、基本信息</w:t>
      </w:r>
    </w:p>
    <w:tbl>
      <w:tblPr>
        <w:tblStyle w:val="5"/>
        <w:tblW w:w="8948" w:type="dxa"/>
        <w:jc w:val="center"/>
        <w:tblInd w:w="0" w:type="dxa"/>
        <w:tblLayout w:type="fixed"/>
        <w:tblCellMar>
          <w:top w:w="0" w:type="dxa"/>
          <w:left w:w="108" w:type="dxa"/>
          <w:bottom w:w="0" w:type="dxa"/>
          <w:right w:w="108" w:type="dxa"/>
        </w:tblCellMar>
      </w:tblPr>
      <w:tblGrid>
        <w:gridCol w:w="1761"/>
        <w:gridCol w:w="2633"/>
        <w:gridCol w:w="2423"/>
        <w:gridCol w:w="2131"/>
      </w:tblGrid>
      <w:tr>
        <w:tblPrEx>
          <w:tblLayout w:type="fixed"/>
          <w:tblCellMar>
            <w:top w:w="0" w:type="dxa"/>
            <w:left w:w="108" w:type="dxa"/>
            <w:bottom w:w="0" w:type="dxa"/>
            <w:right w:w="108" w:type="dxa"/>
          </w:tblCellMar>
        </w:tblPrEx>
        <w:trPr>
          <w:trHeight w:val="57" w:hRule="atLeast"/>
          <w:jc w:val="center"/>
        </w:trPr>
        <w:tc>
          <w:tcPr>
            <w:tcW w:w="1761" w:type="dxa"/>
            <w:tcBorders>
              <w:top w:val="single" w:color="000000" w:sz="4" w:space="0"/>
              <w:left w:val="single" w:color="000000" w:sz="4" w:space="0"/>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姓名</w:t>
            </w:r>
          </w:p>
        </w:tc>
        <w:tc>
          <w:tcPr>
            <w:tcW w:w="263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邹杰群</w:t>
            </w:r>
          </w:p>
        </w:tc>
        <w:tc>
          <w:tcPr>
            <w:tcW w:w="242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性别</w:t>
            </w:r>
          </w:p>
        </w:tc>
        <w:tc>
          <w:tcPr>
            <w:tcW w:w="2131"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男</w:t>
            </w:r>
          </w:p>
        </w:tc>
      </w:tr>
      <w:tr>
        <w:tblPrEx>
          <w:tblLayout w:type="fixed"/>
          <w:tblCellMar>
            <w:top w:w="0" w:type="dxa"/>
            <w:left w:w="108" w:type="dxa"/>
            <w:bottom w:w="0" w:type="dxa"/>
            <w:right w:w="108" w:type="dxa"/>
          </w:tblCellMar>
        </w:tblPrEx>
        <w:trPr>
          <w:trHeight w:val="57" w:hRule="atLeast"/>
          <w:jc w:val="center"/>
        </w:trPr>
        <w:tc>
          <w:tcPr>
            <w:tcW w:w="1761" w:type="dxa"/>
            <w:tcBorders>
              <w:top w:val="single" w:color="000000" w:sz="4" w:space="0"/>
              <w:left w:val="single" w:color="000000" w:sz="4" w:space="0"/>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民族</w:t>
            </w:r>
          </w:p>
        </w:tc>
        <w:tc>
          <w:tcPr>
            <w:tcW w:w="263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汉</w:t>
            </w:r>
          </w:p>
        </w:tc>
        <w:tc>
          <w:tcPr>
            <w:tcW w:w="242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籍贯</w:t>
            </w:r>
          </w:p>
        </w:tc>
        <w:tc>
          <w:tcPr>
            <w:tcW w:w="2131"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江西鄱阳</w:t>
            </w:r>
          </w:p>
        </w:tc>
      </w:tr>
      <w:tr>
        <w:tblPrEx>
          <w:tblLayout w:type="fixed"/>
          <w:tblCellMar>
            <w:top w:w="0" w:type="dxa"/>
            <w:left w:w="108" w:type="dxa"/>
            <w:bottom w:w="0" w:type="dxa"/>
            <w:right w:w="108" w:type="dxa"/>
          </w:tblCellMar>
        </w:tblPrEx>
        <w:trPr>
          <w:trHeight w:val="57" w:hRule="atLeast"/>
          <w:jc w:val="center"/>
        </w:trPr>
        <w:tc>
          <w:tcPr>
            <w:tcW w:w="1761" w:type="dxa"/>
            <w:tcBorders>
              <w:top w:val="single" w:color="000000" w:sz="4" w:space="0"/>
              <w:left w:val="single" w:color="000000" w:sz="4" w:space="0"/>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出生日期</w:t>
            </w:r>
          </w:p>
        </w:tc>
        <w:tc>
          <w:tcPr>
            <w:tcW w:w="263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1972年6月</w:t>
            </w:r>
          </w:p>
        </w:tc>
        <w:tc>
          <w:tcPr>
            <w:tcW w:w="242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所属学校</w:t>
            </w:r>
          </w:p>
        </w:tc>
        <w:tc>
          <w:tcPr>
            <w:tcW w:w="2131"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景德镇学院</w:t>
            </w:r>
          </w:p>
        </w:tc>
      </w:tr>
      <w:tr>
        <w:tblPrEx>
          <w:tblLayout w:type="fixed"/>
          <w:tblCellMar>
            <w:top w:w="0" w:type="dxa"/>
            <w:left w:w="108" w:type="dxa"/>
            <w:bottom w:w="0" w:type="dxa"/>
            <w:right w:w="108" w:type="dxa"/>
          </w:tblCellMar>
        </w:tblPrEx>
        <w:trPr>
          <w:trHeight w:val="57" w:hRule="atLeast"/>
          <w:jc w:val="center"/>
        </w:trPr>
        <w:tc>
          <w:tcPr>
            <w:tcW w:w="1761" w:type="dxa"/>
            <w:tcBorders>
              <w:top w:val="single" w:color="000000" w:sz="4" w:space="0"/>
              <w:left w:val="single" w:color="000000" w:sz="4" w:space="0"/>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政治面貌</w:t>
            </w:r>
          </w:p>
        </w:tc>
        <w:tc>
          <w:tcPr>
            <w:tcW w:w="263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中共党员</w:t>
            </w:r>
          </w:p>
        </w:tc>
        <w:tc>
          <w:tcPr>
            <w:tcW w:w="242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职称</w:t>
            </w:r>
          </w:p>
        </w:tc>
        <w:tc>
          <w:tcPr>
            <w:tcW w:w="2131"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副教授</w:t>
            </w:r>
          </w:p>
        </w:tc>
      </w:tr>
      <w:tr>
        <w:tblPrEx>
          <w:tblLayout w:type="fixed"/>
          <w:tblCellMar>
            <w:top w:w="0" w:type="dxa"/>
            <w:left w:w="108" w:type="dxa"/>
            <w:bottom w:w="0" w:type="dxa"/>
            <w:right w:w="108" w:type="dxa"/>
          </w:tblCellMar>
        </w:tblPrEx>
        <w:trPr>
          <w:trHeight w:val="57" w:hRule="atLeast"/>
          <w:jc w:val="center"/>
        </w:trPr>
        <w:tc>
          <w:tcPr>
            <w:tcW w:w="1761" w:type="dxa"/>
            <w:tcBorders>
              <w:top w:val="single" w:color="000000" w:sz="4" w:space="0"/>
              <w:left w:val="single" w:color="000000" w:sz="4" w:space="0"/>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最高学历</w:t>
            </w:r>
          </w:p>
        </w:tc>
        <w:tc>
          <w:tcPr>
            <w:tcW w:w="263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本科</w:t>
            </w:r>
          </w:p>
        </w:tc>
        <w:tc>
          <w:tcPr>
            <w:tcW w:w="242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最高学位</w:t>
            </w:r>
          </w:p>
        </w:tc>
        <w:tc>
          <w:tcPr>
            <w:tcW w:w="2131"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p>
        </w:tc>
      </w:tr>
      <w:tr>
        <w:tblPrEx>
          <w:tblLayout w:type="fixed"/>
          <w:tblCellMar>
            <w:top w:w="0" w:type="dxa"/>
            <w:left w:w="108" w:type="dxa"/>
            <w:bottom w:w="0" w:type="dxa"/>
            <w:right w:w="108" w:type="dxa"/>
          </w:tblCellMar>
        </w:tblPrEx>
        <w:trPr>
          <w:trHeight w:val="57" w:hRule="atLeast"/>
          <w:jc w:val="center"/>
        </w:trPr>
        <w:tc>
          <w:tcPr>
            <w:tcW w:w="1761" w:type="dxa"/>
            <w:tcBorders>
              <w:top w:val="single" w:color="000000" w:sz="4" w:space="0"/>
              <w:left w:val="single" w:color="000000" w:sz="4" w:space="0"/>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毕业院校</w:t>
            </w:r>
          </w:p>
        </w:tc>
        <w:tc>
          <w:tcPr>
            <w:tcW w:w="263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江西师范大学</w:t>
            </w:r>
          </w:p>
        </w:tc>
        <w:tc>
          <w:tcPr>
            <w:tcW w:w="2423"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行政职务</w:t>
            </w:r>
          </w:p>
        </w:tc>
        <w:tc>
          <w:tcPr>
            <w:tcW w:w="2131" w:type="dxa"/>
            <w:tcBorders>
              <w:top w:val="single" w:color="000000" w:sz="4" w:space="0"/>
              <w:left w:val="nil"/>
              <w:bottom w:val="single" w:color="000000" w:sz="4" w:space="0"/>
              <w:right w:val="single" w:color="000000" w:sz="4" w:space="0"/>
            </w:tcBorders>
          </w:tcPr>
          <w:p>
            <w:pPr>
              <w:jc w:val="center"/>
              <w:rPr>
                <w:rFonts w:hint="eastAsia" w:asciiTheme="minorEastAsia" w:hAnsiTheme="minorEastAsia" w:eastAsiaTheme="minorEastAsia" w:cstheme="minorEastAsia"/>
                <w:sz w:val="24"/>
                <w:szCs w:val="24"/>
              </w:rPr>
            </w:pPr>
          </w:p>
        </w:tc>
      </w:tr>
    </w:tbl>
    <w:p>
      <w:pPr>
        <w:spacing w:before="156" w:beforeLines="50" w:after="156" w:afterLines="50"/>
        <w:rPr>
          <w:rFonts w:ascii="黑体" w:hAnsi="黑体" w:eastAsia="黑体"/>
          <w:sz w:val="28"/>
          <w:szCs w:val="28"/>
        </w:rPr>
      </w:pPr>
      <w:r>
        <w:rPr>
          <w:rFonts w:hint="eastAsia" w:ascii="黑体" w:hAnsi="黑体" w:eastAsia="黑体"/>
          <w:sz w:val="28"/>
          <w:szCs w:val="28"/>
        </w:rPr>
        <w:t>二、教学情况（主要承担的课程、获奖情况等）</w:t>
      </w:r>
    </w:p>
    <w:tbl>
      <w:tblPr>
        <w:tblStyle w:val="5"/>
        <w:tblW w:w="9045" w:type="dxa"/>
        <w:jc w:val="center"/>
        <w:tblInd w:w="0" w:type="dxa"/>
        <w:tblLayout w:type="fixed"/>
        <w:tblCellMar>
          <w:top w:w="0" w:type="dxa"/>
          <w:left w:w="108" w:type="dxa"/>
          <w:bottom w:w="0" w:type="dxa"/>
          <w:right w:w="108" w:type="dxa"/>
        </w:tblCellMar>
      </w:tblPr>
      <w:tblGrid>
        <w:gridCol w:w="9045"/>
      </w:tblGrid>
      <w:tr>
        <w:tblPrEx>
          <w:tblLayout w:type="fixed"/>
          <w:tblCellMar>
            <w:top w:w="0" w:type="dxa"/>
            <w:left w:w="108" w:type="dxa"/>
            <w:bottom w:w="0" w:type="dxa"/>
            <w:right w:w="108" w:type="dxa"/>
          </w:tblCellMar>
        </w:tblPrEx>
        <w:trPr>
          <w:trHeight w:val="3458" w:hRule="atLeast"/>
          <w:jc w:val="center"/>
        </w:trPr>
        <w:tc>
          <w:tcPr>
            <w:tcW w:w="9045" w:type="dxa"/>
            <w:tcBorders>
              <w:top w:val="single" w:color="000000" w:sz="4" w:space="0"/>
              <w:left w:val="single" w:color="000000" w:sz="4" w:space="0"/>
              <w:bottom w:val="single" w:color="000000" w:sz="4" w:space="0"/>
              <w:right w:val="single" w:color="000000" w:sz="4" w:space="0"/>
            </w:tcBorders>
          </w:tcPr>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8"/>
                <w:szCs w:val="28"/>
              </w:rPr>
              <w:t>承担的课程</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《合唱</w:t>
            </w:r>
            <w:r>
              <w:rPr>
                <w:rFonts w:hint="eastAsia" w:asciiTheme="minorEastAsia" w:hAnsiTheme="minorEastAsia" w:eastAsiaTheme="minorEastAsia" w:cstheme="minorEastAsia"/>
                <w:sz w:val="24"/>
                <w:szCs w:val="24"/>
                <w:lang w:eastAsia="zh-CN"/>
              </w:rPr>
              <w:t>与</w:t>
            </w:r>
            <w:r>
              <w:rPr>
                <w:rFonts w:hint="eastAsia" w:asciiTheme="minorEastAsia" w:hAnsiTheme="minorEastAsia" w:eastAsiaTheme="minorEastAsia" w:cstheme="minorEastAsia"/>
                <w:sz w:val="24"/>
                <w:szCs w:val="24"/>
              </w:rPr>
              <w:t>指挥》</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《钢琴》、《中</w:t>
            </w:r>
            <w:r>
              <w:rPr>
                <w:rFonts w:hint="eastAsia" w:asciiTheme="minorEastAsia" w:hAnsiTheme="minorEastAsia" w:eastAsiaTheme="minorEastAsia" w:cstheme="minorEastAsia"/>
                <w:sz w:val="24"/>
                <w:szCs w:val="24"/>
                <w:lang w:eastAsia="zh-CN"/>
              </w:rPr>
              <w:t>外</w:t>
            </w:r>
            <w:r>
              <w:rPr>
                <w:rFonts w:hint="eastAsia" w:asciiTheme="minorEastAsia" w:hAnsiTheme="minorEastAsia" w:eastAsiaTheme="minorEastAsia" w:cstheme="minorEastAsia"/>
                <w:sz w:val="24"/>
                <w:szCs w:val="24"/>
              </w:rPr>
              <w:t>音乐史</w:t>
            </w:r>
            <w:r>
              <w:rPr>
                <w:rFonts w:hint="eastAsia" w:asciiTheme="minorEastAsia" w:hAnsiTheme="minorEastAsia" w:eastAsiaTheme="minorEastAsia" w:cstheme="minorEastAsia"/>
                <w:sz w:val="24"/>
                <w:szCs w:val="24"/>
                <w:lang w:eastAsia="zh-CN"/>
              </w:rPr>
              <w:t>及名著欣赏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《器乐选修》</w:t>
            </w:r>
          </w:p>
          <w:p>
            <w:pP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获奖情况</w:t>
            </w:r>
            <w:r>
              <w:rPr>
                <w:rFonts w:hint="eastAsia" w:asciiTheme="minorEastAsia" w:hAnsiTheme="minorEastAsia" w:eastAsiaTheme="minorEastAsia" w:cstheme="minorEastAsia"/>
                <w:sz w:val="28"/>
                <w:szCs w:val="28"/>
                <w:lang w:eastAsia="zh-CN"/>
              </w:rPr>
              <w:t>：</w:t>
            </w:r>
          </w:p>
          <w:p>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《个个争第一》荣获第六届全国校园春节联欢晚会优秀辅导铜奖</w:t>
            </w:r>
            <w:r>
              <w:rPr>
                <w:rFonts w:hint="eastAsia" w:asciiTheme="minorEastAsia" w:hAnsiTheme="minorEastAsia" w:eastAsiaTheme="minorEastAsia" w:cstheme="minorEastAsia"/>
                <w:sz w:val="24"/>
                <w:szCs w:val="24"/>
                <w:lang w:eastAsia="zh-CN"/>
              </w:rPr>
              <w:t>。</w:t>
            </w:r>
          </w:p>
          <w:p>
            <w:pPr>
              <w:numPr>
                <w:ilvl w:val="0"/>
                <w:numId w:val="1"/>
              </w:num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舞蹈《大瓷盘、小瓷花》在“魅力校园”第五届全国校园文艺会演暨第十届全国校园春节联欢晚会中荣获一等奖</w:t>
            </w:r>
            <w:r>
              <w:rPr>
                <w:rFonts w:hint="eastAsia" w:asciiTheme="minorEastAsia" w:hAnsiTheme="minorEastAsia" w:eastAsiaTheme="minorEastAsia" w:cstheme="minorEastAsia"/>
                <w:sz w:val="24"/>
                <w:szCs w:val="24"/>
                <w:lang w:eastAsia="zh-CN"/>
              </w:rPr>
              <w:t>。</w:t>
            </w:r>
          </w:p>
          <w:p>
            <w:pPr>
              <w:numPr>
                <w:ilvl w:val="0"/>
                <w:numId w:val="1"/>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pacing w:val="-8"/>
                <w:sz w:val="24"/>
                <w:szCs w:val="24"/>
              </w:rPr>
              <w:t>放飞梦想国际艺术交流形象大使选拔（江西赛区），获“优秀园丁奖”</w:t>
            </w:r>
            <w:r>
              <w:rPr>
                <w:rFonts w:hint="eastAsia" w:asciiTheme="minorEastAsia" w:hAnsiTheme="minorEastAsia" w:eastAsiaTheme="minorEastAsia" w:cstheme="minorEastAsia"/>
                <w:spacing w:val="-8"/>
                <w:sz w:val="24"/>
                <w:szCs w:val="24"/>
                <w:lang w:eastAsia="zh-CN"/>
              </w:rPr>
              <w:t>。</w:t>
            </w:r>
          </w:p>
          <w:p>
            <w:pPr>
              <w:numPr>
                <w:ilvl w:val="0"/>
                <w:numId w:val="1"/>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pacing w:val="-4"/>
                <w:sz w:val="24"/>
                <w:szCs w:val="24"/>
              </w:rPr>
              <w:t>在第三届“香港之星”青少年音乐节江西省赛区，获“优秀园丁奖”</w:t>
            </w:r>
            <w:r>
              <w:rPr>
                <w:rFonts w:hint="eastAsia" w:asciiTheme="minorEastAsia" w:hAnsiTheme="minorEastAsia" w:eastAsiaTheme="minorEastAsia" w:cstheme="minorEastAsia"/>
                <w:spacing w:val="-4"/>
                <w:sz w:val="24"/>
                <w:szCs w:val="24"/>
                <w:lang w:eastAsia="zh-CN"/>
              </w:rPr>
              <w:t>。</w:t>
            </w:r>
          </w:p>
          <w:p>
            <w:pPr>
              <w:numPr>
                <w:ilvl w:val="0"/>
                <w:numId w:val="1"/>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音乐作品——为第十三中学创作的校歌《启航如梦年华》；</w:t>
            </w:r>
          </w:p>
          <w:p>
            <w:pPr>
              <w:numPr>
                <w:ilvl w:val="0"/>
                <w:numId w:val="1"/>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为景德镇学院创作了学校校歌。</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7、课件“古典诗词欣赏与写作”在全校第七届七届多媒体课件制作大赛中获二等奖。</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8、“景德镇市‘创先争优’宣传文艺汇演”比赛中，小合唱《我像雪花天上来》获得了二等奖。</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9、带领学生参加江西省首届大学生音乐类基本功比赛（专科组）荣获团体三等奖。全能二等奖2个、三等奖1个、单项一等奖1个、二等奖7个、三等奖4个。</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10、《基本乐理》课程被列为我校首批精品课程。</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11、2010年被评为校级骨干教师。</w:t>
            </w:r>
          </w:p>
          <w:p>
            <w:pPr>
              <w:numPr>
                <w:ilvl w:val="0"/>
                <w:numId w:val="2"/>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由刘坚作词、邹杰群作曲的作品《瓷的传奇》。</w:t>
            </w:r>
          </w:p>
          <w:p>
            <w:pPr>
              <w:numPr>
                <w:ilvl w:val="0"/>
                <w:numId w:val="2"/>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由本人作曲并指导的作品《油菜花开》，荣获2014“唱响中国梦”江西省原创少儿文艺节目电视大赛三等奖。</w:t>
            </w:r>
          </w:p>
          <w:p>
            <w:pPr>
              <w:numPr>
                <w:ilvl w:val="0"/>
                <w:numId w:val="2"/>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2015年荣获第五期江西省基层文化志愿者（骨干）培训班优秀学员。</w:t>
            </w:r>
          </w:p>
          <w:p>
            <w:pPr>
              <w:numPr>
                <w:ilvl w:val="0"/>
                <w:numId w:val="2"/>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由本人指导的学生邱原参加江西省第四届（2016年）普通高校音乐学（教师教育）专业学生基本功比赛，获“钢琴演奏”项目专科单项一等奖。</w:t>
            </w:r>
          </w:p>
          <w:p>
            <w:pPr>
              <w:numPr>
                <w:ilvl w:val="0"/>
                <w:numId w:val="2"/>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2016年指导的作品荣获曹灿杯第二届全国青少年朗诵大赛江西赛区一等奖。</w:t>
            </w:r>
          </w:p>
          <w:p>
            <w:pPr>
              <w:numPr>
                <w:ilvl w:val="0"/>
                <w:numId w:val="2"/>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《瓷的传奇》景德镇“唱响瓷都”原创作品大赛创作金奖。</w:t>
            </w:r>
          </w:p>
          <w:p>
            <w:pPr>
              <w:numPr>
                <w:ilvl w:val="0"/>
                <w:numId w:val="2"/>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《你的名字叫“人民公仆”》景德镇“唱响瓷都”原创作品大赛创作金奖。</w:t>
            </w:r>
          </w:p>
          <w:p>
            <w:pPr>
              <w:numPr>
                <w:ilvl w:val="0"/>
                <w:numId w:val="2"/>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创作的歌曲《翠平湖之恋》，在“乐平好歌曲”征歌中，被评为入选作品。</w:t>
            </w:r>
          </w:p>
          <w:p>
            <w:pPr>
              <w:numPr>
                <w:ilvl w:val="0"/>
                <w:numId w:val="2"/>
              </w:numPr>
              <w:spacing w:line="360" w:lineRule="auto"/>
              <w:rPr>
                <w:rFonts w:hint="eastAsia" w:ascii="宋体" w:hAnsi="宋体"/>
                <w:szCs w:val="21"/>
                <w:lang w:val="en-US" w:eastAsia="zh-CN"/>
              </w:rPr>
            </w:pPr>
            <w:r>
              <w:rPr>
                <w:rFonts w:hint="eastAsia" w:asciiTheme="minorEastAsia" w:hAnsiTheme="minorEastAsia" w:eastAsiaTheme="minorEastAsia" w:cstheme="minorEastAsia"/>
                <w:sz w:val="24"/>
                <w:szCs w:val="24"/>
                <w:lang w:val="en-US" w:eastAsia="zh-CN"/>
              </w:rPr>
              <w:t>经常组织参与全市性大型活动、各个单位音乐活动的策划及学院里面教师与学生的活动，取得了好的名次，并获得好评。</w:t>
            </w:r>
          </w:p>
          <w:p>
            <w:pPr>
              <w:numPr>
                <w:ilvl w:val="0"/>
                <w:numId w:val="2"/>
              </w:numPr>
              <w:spacing w:line="360" w:lineRule="auto"/>
              <w:rPr>
                <w:rFonts w:hint="eastAsia" w:ascii="宋体" w:hAnsi="宋体"/>
                <w:szCs w:val="21"/>
                <w:lang w:val="en-US" w:eastAsia="zh-CN"/>
              </w:rPr>
            </w:pPr>
            <w:r>
              <w:rPr>
                <w:rFonts w:hint="eastAsia" w:asciiTheme="minorEastAsia" w:hAnsiTheme="minorEastAsia" w:eastAsiaTheme="minorEastAsia" w:cstheme="minorEastAsia"/>
                <w:sz w:val="24"/>
                <w:szCs w:val="24"/>
                <w:lang w:val="en-US" w:eastAsia="zh-CN"/>
              </w:rPr>
              <w:t xml:space="preserve">江西省音乐类招生考试专业评委。 </w:t>
            </w:r>
          </w:p>
        </w:tc>
      </w:tr>
    </w:tbl>
    <w:p>
      <w:pPr>
        <w:spacing w:before="156" w:beforeLines="50" w:after="156" w:afterLines="50"/>
        <w:rPr>
          <w:rFonts w:ascii="黑体" w:hAnsi="黑体" w:eastAsia="黑体"/>
          <w:sz w:val="28"/>
          <w:szCs w:val="28"/>
        </w:rPr>
      </w:pPr>
      <w:r>
        <w:rPr>
          <w:rFonts w:hint="eastAsia" w:ascii="黑体" w:hAnsi="黑体" w:eastAsia="黑体"/>
          <w:sz w:val="28"/>
          <w:szCs w:val="28"/>
        </w:rPr>
        <w:t>三、教改科研情况（承担的教改及科研项目、获奖情况）</w:t>
      </w:r>
    </w:p>
    <w:tbl>
      <w:tblPr>
        <w:tblStyle w:val="5"/>
        <w:tblW w:w="9002" w:type="dxa"/>
        <w:jc w:val="center"/>
        <w:tblInd w:w="0" w:type="dxa"/>
        <w:tblLayout w:type="fixed"/>
        <w:tblCellMar>
          <w:top w:w="0" w:type="dxa"/>
          <w:left w:w="108" w:type="dxa"/>
          <w:bottom w:w="0" w:type="dxa"/>
          <w:right w:w="108" w:type="dxa"/>
        </w:tblCellMar>
      </w:tblPr>
      <w:tblGrid>
        <w:gridCol w:w="9002"/>
      </w:tblGrid>
      <w:tr>
        <w:tblPrEx>
          <w:tblLayout w:type="fixed"/>
          <w:tblCellMar>
            <w:top w:w="0" w:type="dxa"/>
            <w:left w:w="108" w:type="dxa"/>
            <w:bottom w:w="0" w:type="dxa"/>
            <w:right w:w="108" w:type="dxa"/>
          </w:tblCellMar>
        </w:tblPrEx>
        <w:trPr>
          <w:trHeight w:val="2122" w:hRule="atLeast"/>
          <w:jc w:val="center"/>
        </w:trPr>
        <w:tc>
          <w:tcPr>
            <w:tcW w:w="9002" w:type="dxa"/>
            <w:tcBorders>
              <w:top w:val="single" w:color="000000" w:sz="4" w:space="0"/>
              <w:left w:val="single" w:color="000000" w:sz="4" w:space="0"/>
              <w:bottom w:val="single" w:color="000000" w:sz="4" w:space="0"/>
              <w:right w:val="single" w:color="000000" w:sz="4" w:space="0"/>
            </w:tcBorders>
          </w:tcPr>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科研项目：</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1、“鄱文化非物质遗产传承保护以及利用——以瑶里山歌为例”（省级课题江西省社会科学艺术学项目，第一主持）</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2、景德镇文化遗产——瑶里山歌的挖掘、整理与研究  （景德镇市社会科学规划课题 第一主持）</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3、《“瓷乐进社区”的文化管理研究》（校级课题，第一主持）</w:t>
            </w:r>
            <w:r>
              <w:rPr>
                <w:rFonts w:hint="eastAsia" w:asciiTheme="minorEastAsia" w:hAnsiTheme="minorEastAsia" w:eastAsiaTheme="minorEastAsia" w:cstheme="minorEastAsia"/>
                <w:sz w:val="24"/>
                <w:szCs w:val="24"/>
              </w:rPr>
              <w:t>《视唱练耳在合唱训练中应用研究》</w:t>
            </w:r>
            <w:r>
              <w:rPr>
                <w:rFonts w:hint="eastAsia" w:asciiTheme="minorEastAsia" w:hAnsiTheme="minorEastAsia" w:eastAsiaTheme="minorEastAsia" w:cstheme="minorEastAsia"/>
                <w:sz w:val="24"/>
                <w:szCs w:val="24"/>
                <w:lang w:eastAsia="zh-CN"/>
              </w:rPr>
              <w:t>；</w:t>
            </w:r>
          </w:p>
          <w:p>
            <w:pPr>
              <w:numPr>
                <w:ilvl w:val="0"/>
                <w:numId w:val="0"/>
              </w:num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编写《</w:t>
            </w:r>
            <w:r>
              <w:rPr>
                <w:rFonts w:hint="eastAsia" w:asciiTheme="minorEastAsia" w:hAnsiTheme="minorEastAsia" w:eastAsiaTheme="minorEastAsia" w:cstheme="minorEastAsia"/>
                <w:bCs/>
                <w:spacing w:val="-10"/>
                <w:sz w:val="24"/>
                <w:szCs w:val="24"/>
              </w:rPr>
              <w:t>音乐基础知识与赏析(大学公共音乐教材)</w:t>
            </w:r>
            <w:r>
              <w:rPr>
                <w:rFonts w:hint="eastAsia" w:asciiTheme="minorEastAsia" w:hAnsiTheme="minorEastAsia" w:eastAsiaTheme="minorEastAsia" w:cstheme="minorEastAsia"/>
                <w:sz w:val="24"/>
                <w:szCs w:val="24"/>
                <w:lang w:eastAsia="zh-CN"/>
              </w:rPr>
              <w:t>》副主编；</w:t>
            </w:r>
          </w:p>
          <w:p>
            <w:pPr>
              <w:numPr>
                <w:ilvl w:val="0"/>
                <w:numId w:val="0"/>
              </w:num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lang w:eastAsia="zh-CN"/>
              </w:rPr>
              <w:t xml:space="preserve">作品《瓷的传奇》入选《瓷都歌声》   百花洲文艺出版社     </w:t>
            </w:r>
          </w:p>
          <w:p>
            <w:pPr>
              <w:numPr>
                <w:ilvl w:val="0"/>
                <w:numId w:val="0"/>
              </w:num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lang w:eastAsia="zh-CN"/>
              </w:rPr>
              <w:t>作品《你的名字叫“人民公仆”》发表心声歌刊</w:t>
            </w:r>
          </w:p>
          <w:p>
            <w:pPr>
              <w:numPr>
                <w:ilvl w:val="0"/>
                <w:numId w:val="0"/>
              </w:num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lang w:eastAsia="zh-CN"/>
              </w:rPr>
              <w:t>作品《摘茶籽》发表 音乐时空</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中国共产党成立90周年-景德镇第32届群众歌咏月荣获  优秀指挥奖</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喜迎十八大·爱国歌曲大家唱暨第33届群众歌咏月荣获  优秀指挥奖</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唱响景德镇·共筑中国梦景德镇市第34届群众歌咏月荣获  优秀指挥奖</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11、</w:t>
            </w:r>
            <w:r>
              <w:rPr>
                <w:rFonts w:hint="eastAsia" w:asciiTheme="minorEastAsia" w:hAnsiTheme="minorEastAsia" w:eastAsiaTheme="minorEastAsia" w:cstheme="minorEastAsia"/>
                <w:sz w:val="24"/>
                <w:szCs w:val="24"/>
              </w:rPr>
              <w:t>实干兴赣·圆梦中国景德镇市第35届群众歌咏月荣获  优秀指挥奖</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12、</w:t>
            </w:r>
            <w:r>
              <w:rPr>
                <w:rFonts w:hint="eastAsia" w:asciiTheme="minorEastAsia" w:hAnsiTheme="minorEastAsia" w:eastAsiaTheme="minorEastAsia" w:cstheme="minorEastAsia"/>
                <w:sz w:val="24"/>
                <w:szCs w:val="24"/>
              </w:rPr>
              <w:t>铭记历史·圆梦中华纪念抗日战争暨世界反法西斯胜利70周年景德镇市第36届群众歌咏月荣获  优秀指挥奖</w:t>
            </w:r>
          </w:p>
          <w:p>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13、</w:t>
            </w:r>
            <w:r>
              <w:rPr>
                <w:rFonts w:hint="eastAsia" w:asciiTheme="minorEastAsia" w:hAnsiTheme="minorEastAsia" w:eastAsiaTheme="minorEastAsia" w:cstheme="minorEastAsia"/>
                <w:sz w:val="24"/>
                <w:szCs w:val="24"/>
              </w:rPr>
              <w:t>纪念长征胜利80周年暨景德镇市第37届群众歌咏月荣获  优秀指挥奖</w:t>
            </w:r>
            <w:r>
              <w:rPr>
                <w:rFonts w:hint="eastAsia" w:asciiTheme="minorEastAsia" w:hAnsiTheme="minorEastAsia" w:eastAsiaTheme="minorEastAsia" w:cstheme="minorEastAsia"/>
                <w:sz w:val="24"/>
                <w:szCs w:val="24"/>
                <w:lang w:eastAsia="zh-CN"/>
              </w:rPr>
              <w:t>。</w:t>
            </w: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14、参与由江西出版集团、百花洲文艺出版社出版的高等院校教材——《钢琴》的编写工作。</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8" w:usb3="00000000" w:csb0="000001FF" w:csb1="00000000"/>
  </w:font>
  <w:font w:name="华文仿宋">
    <w:panose1 w:val="02010600040101010101"/>
    <w:charset w:val="86"/>
    <w:family w:val="auto"/>
    <w:pitch w:val="default"/>
    <w:sig w:usb0="00000287" w:usb1="080F0000" w:usb2="00000000" w:usb3="00000000" w:csb0="0004009F" w:csb1="DFD70000"/>
  </w:font>
  <w:font w:name="Helvetica Neue">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方正仿宋简体">
    <w:altName w:val="黑体"/>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方正小标宋简体">
    <w:altName w:val="Times New Roman"/>
    <w:panose1 w:val="00000000000000000000"/>
    <w:charset w:val="00"/>
    <w:family w:val="auto"/>
    <w:pitch w:val="default"/>
    <w:sig w:usb0="00000000" w:usb1="00000000" w:usb2="00000000" w:usb3="00000000" w:csb0="00000000" w:csb1="00000000"/>
  </w:font>
  <w:font w:name="??">
    <w:altName w:val="Times New Roman"/>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华文隶书">
    <w:panose1 w:val="02010800040101010101"/>
    <w:charset w:val="86"/>
    <w:family w:val="auto"/>
    <w:pitch w:val="default"/>
    <w:sig w:usb0="00000001" w:usb1="080F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华文新魏">
    <w:panose1 w:val="02010800040101010101"/>
    <w:charset w:val="86"/>
    <w:family w:val="auto"/>
    <w:pitch w:val="default"/>
    <w:sig w:usb0="00000001" w:usb1="080F0000" w:usb2="00000000" w:usb3="00000000" w:csb0="00040000" w:csb1="00000000"/>
  </w:font>
  <w:font w:name="方正兰亭黑简体">
    <w:altName w:val="宋体"/>
    <w:panose1 w:val="02000000000000000000"/>
    <w:charset w:val="86"/>
    <w:family w:val="auto"/>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Tw Cen MT Condensed Extra Bold">
    <w:altName w:val="Trebuchet MS"/>
    <w:panose1 w:val="020B0803020202020204"/>
    <w:charset w:val="00"/>
    <w:family w:val="auto"/>
    <w:pitch w:val="default"/>
    <w:sig w:usb0="00000000" w:usb1="00000000" w:usb2="00000000" w:usb3="00000000" w:csb0="20000003" w:csb1="00000000"/>
  </w:font>
  <w:font w:name="MS Gothic">
    <w:panose1 w:val="020B0609070205080204"/>
    <w:charset w:val="80"/>
    <w:family w:val="auto"/>
    <w:pitch w:val="default"/>
    <w:sig w:usb0="E00002FF" w:usb1="6AC7FDFB" w:usb2="00000012" w:usb3="00000000" w:csb0="4002009F" w:csb1="DFD70000"/>
  </w:font>
  <w:font w:name="_x000B__x000C_">
    <w:altName w:val="Times New Roman"/>
    <w:panose1 w:val="00000000000000000000"/>
    <w:charset w:val="00"/>
    <w:family w:val="roman"/>
    <w:pitch w:val="default"/>
    <w:sig w:usb0="00000000" w:usb1="00000000" w:usb2="00000000" w:usb3="00000000" w:csb0="00040001" w:csb1="00000000"/>
  </w:font>
  <w:font w:name="Arial monospace sans-serif">
    <w:altName w:val="Arial"/>
    <w:panose1 w:val="00000000000000000000"/>
    <w:charset w:val="01"/>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Trebuchet MS">
    <w:panose1 w:val="020B0603020202020204"/>
    <w:charset w:val="00"/>
    <w:family w:val="auto"/>
    <w:pitch w:val="default"/>
    <w:sig w:usb0="000002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263D6"/>
    <w:multiLevelType w:val="singleLevel"/>
    <w:tmpl w:val="5A4263D6"/>
    <w:lvl w:ilvl="0" w:tentative="0">
      <w:start w:val="2"/>
      <w:numFmt w:val="decimal"/>
      <w:suff w:val="nothing"/>
      <w:lvlText w:val="%1、"/>
      <w:lvlJc w:val="left"/>
    </w:lvl>
  </w:abstractNum>
  <w:abstractNum w:abstractNumId="1">
    <w:nsid w:val="5A426918"/>
    <w:multiLevelType w:val="singleLevel"/>
    <w:tmpl w:val="5A426918"/>
    <w:lvl w:ilvl="0" w:tentative="0">
      <w:start w:val="1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401"/>
    <w:rsid w:val="00712401"/>
    <w:rsid w:val="007867F3"/>
    <w:rsid w:val="00FC3CE2"/>
    <w:rsid w:val="31D857F3"/>
    <w:rsid w:val="42FE3192"/>
    <w:rsid w:val="6FE36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Body Text Indent"/>
    <w:basedOn w:val="1"/>
    <w:unhideWhenUsed/>
    <w:qFormat/>
    <w:uiPriority w:val="99"/>
    <w:pPr>
      <w:widowControl/>
      <w:autoSpaceDE/>
      <w:autoSpaceDN/>
      <w:adjustRightInd/>
      <w:spacing w:before="100" w:beforeLines="0" w:beforeAutospacing="1" w:after="100" w:afterLines="0" w:afterAutospacing="1"/>
    </w:pPr>
    <w:rPr>
      <w:rFonts w:hAnsi="宋体"/>
      <w:sz w:val="24"/>
      <w:szCs w:val="24"/>
      <w:lang w:val="en-US"/>
    </w:rPr>
  </w:style>
  <w:style w:type="paragraph" w:styleId="3">
    <w:name w:val="Normal (Web)"/>
    <w:basedOn w:val="1"/>
    <w:unhideWhenUsed/>
    <w:qFormat/>
    <w:uiPriority w:val="99"/>
    <w:rPr>
      <w:sz w:val="24"/>
    </w:rPr>
  </w:style>
  <w:style w:type="paragraph" w:styleId="6">
    <w:name w:val="List Paragraph"/>
    <w:basedOn w:val="1"/>
    <w:qFormat/>
    <w:uiPriority w:val="99"/>
    <w:pPr>
      <w:ind w:firstLine="420" w:firstLineChars="200"/>
    </w:pPr>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99</Words>
  <Characters>567</Characters>
  <Lines>4</Lines>
  <Paragraphs>1</Paragraphs>
  <ScaleCrop>false</ScaleCrop>
  <LinksUpToDate>false</LinksUpToDate>
  <CharactersWithSpaces>665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2017-12-21T02:36:00Z</dcterms:created>
  <dc:creator>John</dc:creator>
  <cp:lastModifiedBy>John</cp:lastModifiedBy>
  <dcterms:modified xsi:type="dcterms:W3CDTF">2017-12-28T00:37:53Z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