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0" w:firstLineChars="0"/>
        <w:jc w:val="left"/>
        <w:rPr>
          <w:rFonts w:ascii="黑体" w:hAnsi="黑体" w:eastAsia="黑体"/>
          <w:sz w:val="32"/>
          <w:szCs w:val="32"/>
        </w:rPr>
      </w:pPr>
    </w:p>
    <w:p>
      <w:pPr>
        <w:tabs>
          <w:tab w:val="left" w:pos="5685"/>
        </w:tabs>
        <w:spacing w:beforeLines="100" w:afterLines="100" w:line="480" w:lineRule="auto"/>
        <w:ind w:left="2640" w:hanging="2640" w:hangingChars="600"/>
        <w:jc w:val="left"/>
        <w:rPr>
          <w:rFonts w:ascii="???????" w:hAnsi="宋体"/>
          <w:sz w:val="44"/>
          <w:szCs w:val="44"/>
        </w:rPr>
      </w:pPr>
      <w:r>
        <w:rPr>
          <w:rFonts w:hint="eastAsia" w:ascii="???????" w:hAnsi="???????"/>
          <w:sz w:val="44"/>
          <w:szCs w:val="44"/>
        </w:rPr>
        <w:t>《</w:t>
      </w:r>
      <w:r>
        <w:rPr>
          <w:rFonts w:hint="eastAsia"/>
          <w:sz w:val="44"/>
          <w:szCs w:val="44"/>
        </w:rPr>
        <w:t>通识教育文学课程</w:t>
      </w:r>
      <w:r>
        <w:rPr>
          <w:sz w:val="44"/>
          <w:szCs w:val="44"/>
        </w:rPr>
        <w:t>——</w:t>
      </w:r>
      <w:bookmarkStart w:id="0" w:name="_GoBack"/>
      <w:r>
        <w:rPr>
          <w:rFonts w:hint="eastAsia"/>
          <w:sz w:val="44"/>
          <w:szCs w:val="44"/>
        </w:rPr>
        <w:t>诺贝尔文学鉴赏</w:t>
      </w:r>
      <w:bookmarkEnd w:id="0"/>
      <w:r>
        <w:rPr>
          <w:rFonts w:hint="eastAsia" w:ascii="???????" w:hAnsi="宋体"/>
          <w:sz w:val="44"/>
          <w:szCs w:val="44"/>
        </w:rPr>
        <w:t>》课程教学大纲</w:t>
      </w:r>
    </w:p>
    <w:p>
      <w:pPr>
        <w:spacing w:afterLines="50"/>
        <w:rPr>
          <w:rFonts w:ascii="??" w:hAnsi="??"/>
          <w:b/>
          <w:bCs/>
          <w:color w:val="000000"/>
          <w:kern w:val="0"/>
          <w:sz w:val="22"/>
          <w:szCs w:val="22"/>
        </w:rPr>
      </w:pPr>
      <w:r>
        <w:rPr>
          <w:rFonts w:hint="eastAsia" w:ascii="黑体" w:hAnsi="黑体" w:eastAsia="黑体"/>
          <w:sz w:val="28"/>
          <w:szCs w:val="28"/>
        </w:rPr>
        <w:t>一、课程基本信息</w:t>
      </w:r>
    </w:p>
    <w:tbl>
      <w:tblPr>
        <w:tblStyle w:val="3"/>
        <w:tblW w:w="8631" w:type="dxa"/>
        <w:jc w:val="center"/>
        <w:tblInd w:w="0" w:type="dxa"/>
        <w:tblLayout w:type="fixed"/>
        <w:tblCellMar>
          <w:top w:w="0" w:type="dxa"/>
          <w:left w:w="108" w:type="dxa"/>
          <w:bottom w:w="0" w:type="dxa"/>
          <w:right w:w="108" w:type="dxa"/>
        </w:tblCellMar>
      </w:tblPr>
      <w:tblGrid>
        <w:gridCol w:w="426"/>
        <w:gridCol w:w="268"/>
        <w:gridCol w:w="425"/>
        <w:gridCol w:w="713"/>
        <w:gridCol w:w="985"/>
        <w:gridCol w:w="996"/>
        <w:gridCol w:w="496"/>
        <w:gridCol w:w="851"/>
        <w:gridCol w:w="992"/>
        <w:gridCol w:w="417"/>
        <w:gridCol w:w="717"/>
        <w:gridCol w:w="1345"/>
      </w:tblGrid>
      <w:tr>
        <w:tblPrEx>
          <w:tblLayout w:type="fixed"/>
          <w:tblCellMar>
            <w:top w:w="0" w:type="dxa"/>
            <w:left w:w="108" w:type="dxa"/>
            <w:bottom w:w="0" w:type="dxa"/>
            <w:right w:w="108" w:type="dxa"/>
          </w:tblCellMar>
        </w:tblPrEx>
        <w:trPr>
          <w:trHeight w:val="569" w:hRule="atLeast"/>
          <w:jc w:val="center"/>
        </w:trPr>
        <w:tc>
          <w:tcPr>
            <w:tcW w:w="694" w:type="dxa"/>
            <w:gridSpan w:val="2"/>
            <w:tcBorders>
              <w:top w:val="single" w:color="auto" w:sz="12" w:space="0"/>
              <w:left w:val="single" w:color="auto" w:sz="12" w:space="0"/>
              <w:bottom w:val="single" w:color="auto" w:sz="4" w:space="0"/>
              <w:right w:val="single" w:color="auto" w:sz="4" w:space="0"/>
            </w:tcBorders>
            <w:vAlign w:val="center"/>
          </w:tcPr>
          <w:p>
            <w:pPr>
              <w:jc w:val="center"/>
              <w:rPr>
                <w:rFonts w:ascii="??_GB2312"/>
              </w:rPr>
            </w:pPr>
            <w:r>
              <w:rPr>
                <w:rFonts w:hint="eastAsia" w:ascii="??_GB2312"/>
              </w:rPr>
              <w:t>开课学校</w:t>
            </w:r>
          </w:p>
        </w:tc>
        <w:tc>
          <w:tcPr>
            <w:tcW w:w="3615" w:type="dxa"/>
            <w:gridSpan w:val="5"/>
            <w:tcBorders>
              <w:top w:val="single" w:color="auto" w:sz="12"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景德镇学院</w:t>
            </w:r>
          </w:p>
        </w:tc>
        <w:tc>
          <w:tcPr>
            <w:tcW w:w="851" w:type="dxa"/>
            <w:tcBorders>
              <w:top w:val="single" w:color="auto" w:sz="12"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院系</w:t>
            </w:r>
          </w:p>
        </w:tc>
        <w:tc>
          <w:tcPr>
            <w:tcW w:w="3471" w:type="dxa"/>
            <w:gridSpan w:val="4"/>
            <w:tcBorders>
              <w:top w:val="single" w:color="auto" w:sz="12" w:space="0"/>
              <w:left w:val="single" w:color="auto" w:sz="4" w:space="0"/>
              <w:bottom w:val="single" w:color="auto" w:sz="4" w:space="0"/>
              <w:right w:val="single" w:color="auto" w:sz="12" w:space="0"/>
            </w:tcBorders>
            <w:vAlign w:val="center"/>
          </w:tcPr>
          <w:p>
            <w:pPr>
              <w:jc w:val="center"/>
              <w:rPr>
                <w:rFonts w:ascii="??_GB2312"/>
              </w:rPr>
            </w:pPr>
            <w:r>
              <w:rPr>
                <w:rFonts w:hint="eastAsia" w:ascii="??_GB2312"/>
              </w:rPr>
              <w:t>人文科学系</w:t>
            </w:r>
          </w:p>
        </w:tc>
      </w:tr>
      <w:tr>
        <w:tblPrEx>
          <w:tblLayout w:type="fixed"/>
          <w:tblCellMar>
            <w:top w:w="0" w:type="dxa"/>
            <w:left w:w="108" w:type="dxa"/>
            <w:bottom w:w="0" w:type="dxa"/>
            <w:right w:w="108" w:type="dxa"/>
          </w:tblCellMar>
        </w:tblPrEx>
        <w:trPr>
          <w:trHeight w:val="696" w:hRule="atLeast"/>
          <w:jc w:val="center"/>
        </w:trPr>
        <w:tc>
          <w:tcPr>
            <w:tcW w:w="694"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_GB2312"/>
              </w:rPr>
            </w:pPr>
            <w:r>
              <w:rPr>
                <w:rFonts w:hint="eastAsia" w:ascii="??_GB2312"/>
              </w:rPr>
              <w:t>课程名称</w:t>
            </w:r>
          </w:p>
        </w:tc>
        <w:tc>
          <w:tcPr>
            <w:tcW w:w="3615"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rPr>
              <w:t>通识教育文学课程</w:t>
            </w:r>
            <w:r>
              <w:t>——</w:t>
            </w:r>
            <w:r>
              <w:rPr>
                <w:rFonts w:hint="eastAsia"/>
              </w:rPr>
              <w:t>诺贝尔文学鉴赏</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课程英文名称</w:t>
            </w:r>
          </w:p>
        </w:tc>
        <w:tc>
          <w:tcPr>
            <w:tcW w:w="3471" w:type="dxa"/>
            <w:gridSpan w:val="4"/>
            <w:tcBorders>
              <w:top w:val="single" w:color="auto" w:sz="4" w:space="0"/>
              <w:left w:val="single" w:color="auto" w:sz="4" w:space="0"/>
              <w:bottom w:val="single" w:color="auto" w:sz="4" w:space="0"/>
              <w:right w:val="single" w:color="auto" w:sz="12" w:space="0"/>
            </w:tcBorders>
            <w:vAlign w:val="center"/>
          </w:tcPr>
          <w:p>
            <w:pPr>
              <w:jc w:val="center"/>
              <w:rPr>
                <w:rFonts w:ascii="??_GB2312"/>
              </w:rPr>
            </w:pPr>
            <w:r>
              <w:rPr>
                <w:rFonts w:ascii="??_GB2312"/>
              </w:rPr>
              <w:t>General Education Literature Courses: Nobel Literature Appreciation</w:t>
            </w:r>
          </w:p>
        </w:tc>
      </w:tr>
      <w:tr>
        <w:tblPrEx>
          <w:tblLayout w:type="fixed"/>
          <w:tblCellMar>
            <w:top w:w="0" w:type="dxa"/>
            <w:left w:w="108" w:type="dxa"/>
            <w:bottom w:w="0" w:type="dxa"/>
            <w:right w:w="108" w:type="dxa"/>
          </w:tblCellMar>
        </w:tblPrEx>
        <w:trPr>
          <w:trHeight w:val="634" w:hRule="atLeast"/>
          <w:jc w:val="center"/>
        </w:trPr>
        <w:tc>
          <w:tcPr>
            <w:tcW w:w="694"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_GB2312"/>
              </w:rPr>
            </w:pPr>
            <w:r>
              <w:rPr>
                <w:rFonts w:hint="eastAsia" w:ascii="??_GB2312"/>
              </w:rPr>
              <w:t>课程编号</w:t>
            </w:r>
          </w:p>
        </w:tc>
        <w:tc>
          <w:tcPr>
            <w:tcW w:w="3615"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ascii="??_GB2312"/>
              </w:rPr>
              <w:t>0039</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学时</w:t>
            </w:r>
          </w:p>
        </w:tc>
        <w:tc>
          <w:tcPr>
            <w:tcW w:w="14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ascii="??_GB2312"/>
              </w:rPr>
              <w:t>36</w:t>
            </w:r>
          </w:p>
        </w:tc>
        <w:tc>
          <w:tcPr>
            <w:tcW w:w="717" w:type="dxa"/>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学分</w:t>
            </w:r>
          </w:p>
        </w:tc>
        <w:tc>
          <w:tcPr>
            <w:tcW w:w="1345" w:type="dxa"/>
            <w:tcBorders>
              <w:top w:val="single" w:color="auto" w:sz="4" w:space="0"/>
              <w:left w:val="single" w:color="auto" w:sz="4" w:space="0"/>
              <w:bottom w:val="single" w:color="auto" w:sz="4" w:space="0"/>
              <w:right w:val="single" w:color="auto" w:sz="12" w:space="0"/>
            </w:tcBorders>
            <w:vAlign w:val="center"/>
          </w:tcPr>
          <w:p>
            <w:pPr>
              <w:jc w:val="center"/>
              <w:rPr>
                <w:rFonts w:ascii="??_GB2312"/>
              </w:rPr>
            </w:pPr>
            <w:r>
              <w:rPr>
                <w:rFonts w:ascii="??_GB2312"/>
              </w:rPr>
              <w:t>2</w:t>
            </w:r>
          </w:p>
        </w:tc>
      </w:tr>
      <w:tr>
        <w:tblPrEx>
          <w:tblLayout w:type="fixed"/>
          <w:tblCellMar>
            <w:top w:w="0" w:type="dxa"/>
            <w:left w:w="108" w:type="dxa"/>
            <w:bottom w:w="0" w:type="dxa"/>
            <w:right w:w="108" w:type="dxa"/>
          </w:tblCellMar>
        </w:tblPrEx>
        <w:trPr>
          <w:trHeight w:val="634" w:hRule="atLeast"/>
          <w:jc w:val="center"/>
        </w:trPr>
        <w:tc>
          <w:tcPr>
            <w:tcW w:w="694" w:type="dxa"/>
            <w:gridSpan w:val="2"/>
            <w:tcBorders>
              <w:top w:val="single" w:color="auto" w:sz="4" w:space="0"/>
              <w:left w:val="single" w:color="auto" w:sz="12" w:space="0"/>
              <w:bottom w:val="single" w:color="auto" w:sz="4" w:space="0"/>
              <w:right w:val="single" w:color="auto" w:sz="4" w:space="0"/>
            </w:tcBorders>
            <w:vAlign w:val="center"/>
          </w:tcPr>
          <w:p>
            <w:pPr>
              <w:rPr>
                <w:rFonts w:ascii="??_GB2312"/>
              </w:rPr>
            </w:pPr>
            <w:r>
              <w:rPr>
                <w:rFonts w:hint="eastAsia" w:ascii="??_GB2312"/>
              </w:rPr>
              <w:t>课程类型</w:t>
            </w:r>
          </w:p>
        </w:tc>
        <w:tc>
          <w:tcPr>
            <w:tcW w:w="3615" w:type="dxa"/>
            <w:gridSpan w:val="5"/>
            <w:tcBorders>
              <w:top w:val="single" w:color="auto" w:sz="4" w:space="0"/>
              <w:left w:val="single" w:color="auto" w:sz="4" w:space="0"/>
              <w:bottom w:val="single" w:color="auto" w:sz="4" w:space="0"/>
              <w:right w:val="single" w:color="auto" w:sz="4" w:space="0"/>
            </w:tcBorders>
            <w:vAlign w:val="center"/>
          </w:tcPr>
          <w:p>
            <w:pPr>
              <w:jc w:val="left"/>
              <w:rPr>
                <w:rFonts w:ascii="??_GB2312"/>
              </w:rPr>
            </w:pPr>
            <w:r>
              <w:rPr>
                <w:rFonts w:hint="eastAsia" w:ascii="宋体" w:hAnsi="宋体"/>
              </w:rPr>
              <w:t>●</w:t>
            </w:r>
            <w:r>
              <w:rPr>
                <w:rFonts w:hint="eastAsia" w:ascii="??_GB2312"/>
              </w:rPr>
              <w:t>通识课</w:t>
            </w:r>
            <w:r>
              <w:rPr>
                <w:rFonts w:ascii="??_GB2312"/>
              </w:rPr>
              <w:t>○</w:t>
            </w:r>
            <w:r>
              <w:rPr>
                <w:rFonts w:hint="eastAsia" w:ascii="??_GB2312"/>
              </w:rPr>
              <w:t>公共基础课</w:t>
            </w:r>
          </w:p>
          <w:p>
            <w:pPr>
              <w:jc w:val="left"/>
              <w:rPr>
                <w:rFonts w:ascii="??_GB2312"/>
              </w:rPr>
            </w:pPr>
            <w:r>
              <w:rPr>
                <w:rFonts w:ascii="??_GB2312"/>
              </w:rPr>
              <w:t>○</w:t>
            </w:r>
            <w:r>
              <w:rPr>
                <w:rFonts w:hint="eastAsia" w:ascii="??_GB2312"/>
              </w:rPr>
              <w:t>学科基础课</w:t>
            </w:r>
            <w:r>
              <w:rPr>
                <w:rFonts w:ascii="??_GB2312"/>
              </w:rPr>
              <w:t>○</w:t>
            </w:r>
            <w:r>
              <w:rPr>
                <w:rFonts w:hint="eastAsia" w:ascii="??_GB2312"/>
              </w:rPr>
              <w:t>专业课</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课程</w:t>
            </w:r>
          </w:p>
          <w:p>
            <w:pPr>
              <w:jc w:val="center"/>
              <w:rPr>
                <w:rFonts w:ascii="??_GB2312"/>
              </w:rPr>
            </w:pPr>
            <w:r>
              <w:rPr>
                <w:rFonts w:hint="eastAsia" w:ascii="??_GB2312"/>
              </w:rPr>
              <w:t>属性</w:t>
            </w:r>
          </w:p>
        </w:tc>
        <w:tc>
          <w:tcPr>
            <w:tcW w:w="14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ascii="??_GB2312"/>
              </w:rPr>
              <w:t>○</w:t>
            </w:r>
            <w:r>
              <w:rPr>
                <w:rFonts w:hint="eastAsia" w:ascii="??_GB2312"/>
              </w:rPr>
              <w:t>必修课</w:t>
            </w:r>
          </w:p>
          <w:p>
            <w:pPr>
              <w:jc w:val="center"/>
              <w:rPr>
                <w:rFonts w:ascii="??_GB2312"/>
              </w:rPr>
            </w:pPr>
            <w:r>
              <w:rPr>
                <w:rFonts w:hint="eastAsia" w:ascii="宋体" w:hAnsi="宋体"/>
              </w:rPr>
              <w:t>●</w:t>
            </w:r>
            <w:r>
              <w:rPr>
                <w:rFonts w:hint="eastAsia" w:ascii="??_GB2312"/>
              </w:rPr>
              <w:t>选修课</w:t>
            </w:r>
          </w:p>
        </w:tc>
        <w:tc>
          <w:tcPr>
            <w:tcW w:w="717" w:type="dxa"/>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考核方式</w:t>
            </w:r>
          </w:p>
        </w:tc>
        <w:tc>
          <w:tcPr>
            <w:tcW w:w="1345" w:type="dxa"/>
            <w:tcBorders>
              <w:top w:val="single" w:color="auto" w:sz="4" w:space="0"/>
              <w:left w:val="single" w:color="auto" w:sz="4" w:space="0"/>
              <w:bottom w:val="single" w:color="auto" w:sz="4" w:space="0"/>
              <w:right w:val="single" w:color="auto" w:sz="12" w:space="0"/>
            </w:tcBorders>
            <w:vAlign w:val="center"/>
          </w:tcPr>
          <w:p>
            <w:pPr>
              <w:jc w:val="center"/>
              <w:rPr>
                <w:rFonts w:ascii="??_GB2312"/>
              </w:rPr>
            </w:pPr>
            <w:r>
              <w:rPr>
                <w:rFonts w:ascii="??_GB2312"/>
              </w:rPr>
              <w:t>○</w:t>
            </w:r>
            <w:r>
              <w:rPr>
                <w:rFonts w:hint="eastAsia" w:ascii="??_GB2312"/>
              </w:rPr>
              <w:t>考试</w:t>
            </w:r>
          </w:p>
          <w:p>
            <w:pPr>
              <w:jc w:val="center"/>
              <w:rPr>
                <w:rFonts w:ascii="??_GB2312"/>
              </w:rPr>
            </w:pPr>
            <w:r>
              <w:rPr>
                <w:rFonts w:hint="eastAsia" w:ascii="宋体" w:hAnsi="宋体"/>
              </w:rPr>
              <w:t>●</w:t>
            </w:r>
            <w:r>
              <w:rPr>
                <w:rFonts w:hint="eastAsia" w:ascii="??_GB2312"/>
              </w:rPr>
              <w:t>考查</w:t>
            </w:r>
          </w:p>
        </w:tc>
      </w:tr>
      <w:tr>
        <w:tblPrEx>
          <w:tblLayout w:type="fixed"/>
          <w:tblCellMar>
            <w:top w:w="0" w:type="dxa"/>
            <w:left w:w="108" w:type="dxa"/>
            <w:bottom w:w="0" w:type="dxa"/>
            <w:right w:w="108" w:type="dxa"/>
          </w:tblCellMar>
        </w:tblPrEx>
        <w:trPr>
          <w:trHeight w:val="700" w:hRule="atLeast"/>
          <w:jc w:val="center"/>
        </w:trPr>
        <w:tc>
          <w:tcPr>
            <w:tcW w:w="694"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_GB2312"/>
              </w:rPr>
            </w:pPr>
            <w:r>
              <w:rPr>
                <w:rFonts w:hint="eastAsia" w:ascii="??_GB2312"/>
              </w:rPr>
              <w:t>适用专业</w:t>
            </w:r>
          </w:p>
        </w:tc>
        <w:tc>
          <w:tcPr>
            <w:tcW w:w="7937" w:type="dxa"/>
            <w:gridSpan w:val="10"/>
            <w:tcBorders>
              <w:top w:val="single" w:color="auto" w:sz="4" w:space="0"/>
              <w:left w:val="single" w:color="auto" w:sz="4" w:space="0"/>
              <w:bottom w:val="single" w:color="auto" w:sz="4" w:space="0"/>
              <w:right w:val="single" w:color="auto" w:sz="12" w:space="0"/>
            </w:tcBorders>
            <w:vAlign w:val="center"/>
          </w:tcPr>
          <w:p>
            <w:pPr>
              <w:jc w:val="center"/>
              <w:rPr>
                <w:rFonts w:ascii="??_GB2312"/>
              </w:rPr>
            </w:pPr>
            <w:r>
              <w:rPr>
                <w:rFonts w:hint="eastAsia" w:ascii="??_GB2312"/>
              </w:rPr>
              <w:t>任何专业</w:t>
            </w:r>
          </w:p>
        </w:tc>
      </w:tr>
      <w:tr>
        <w:tblPrEx>
          <w:tblLayout w:type="fixed"/>
          <w:tblCellMar>
            <w:top w:w="0" w:type="dxa"/>
            <w:left w:w="108" w:type="dxa"/>
            <w:bottom w:w="0" w:type="dxa"/>
            <w:right w:w="108" w:type="dxa"/>
          </w:tblCellMar>
        </w:tblPrEx>
        <w:trPr>
          <w:trHeight w:val="697" w:hRule="atLeast"/>
          <w:jc w:val="center"/>
        </w:trPr>
        <w:tc>
          <w:tcPr>
            <w:tcW w:w="694"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_GB2312"/>
              </w:rPr>
            </w:pPr>
            <w:r>
              <w:rPr>
                <w:rFonts w:hint="eastAsia" w:ascii="??_GB2312"/>
              </w:rPr>
              <w:t>先修课程</w:t>
            </w:r>
          </w:p>
        </w:tc>
        <w:tc>
          <w:tcPr>
            <w:tcW w:w="7937" w:type="dxa"/>
            <w:gridSpan w:val="10"/>
            <w:tcBorders>
              <w:top w:val="single" w:color="auto" w:sz="4" w:space="0"/>
              <w:left w:val="single" w:color="auto" w:sz="4" w:space="0"/>
              <w:bottom w:val="single" w:color="auto" w:sz="4" w:space="0"/>
              <w:right w:val="single" w:color="auto" w:sz="12" w:space="0"/>
            </w:tcBorders>
            <w:vAlign w:val="center"/>
          </w:tcPr>
          <w:p>
            <w:pPr>
              <w:jc w:val="center"/>
              <w:rPr>
                <w:rFonts w:ascii="??_GB2312"/>
              </w:rPr>
            </w:pPr>
            <w:r>
              <w:rPr>
                <w:rFonts w:hint="eastAsia" w:ascii="??_GB2312"/>
              </w:rPr>
              <w:t>无需先修课程，特别适合一年级学生素质教育</w:t>
            </w:r>
          </w:p>
        </w:tc>
      </w:tr>
      <w:tr>
        <w:tblPrEx>
          <w:tblLayout w:type="fixed"/>
          <w:tblCellMar>
            <w:top w:w="0" w:type="dxa"/>
            <w:left w:w="108" w:type="dxa"/>
            <w:bottom w:w="0" w:type="dxa"/>
            <w:right w:w="108" w:type="dxa"/>
          </w:tblCellMar>
        </w:tblPrEx>
        <w:trPr>
          <w:jc w:val="center"/>
        </w:trPr>
        <w:tc>
          <w:tcPr>
            <w:tcW w:w="8631" w:type="dxa"/>
            <w:gridSpan w:val="12"/>
            <w:tcBorders>
              <w:top w:val="single" w:color="auto" w:sz="4" w:space="0"/>
              <w:left w:val="single" w:color="auto" w:sz="12" w:space="0"/>
              <w:bottom w:val="single" w:color="auto" w:sz="4" w:space="0"/>
              <w:right w:val="single" w:color="auto" w:sz="12" w:space="0"/>
            </w:tcBorders>
            <w:vAlign w:val="center"/>
          </w:tcPr>
          <w:p>
            <w:pPr>
              <w:jc w:val="center"/>
              <w:rPr>
                <w:rFonts w:ascii="??_GB2312"/>
              </w:rPr>
            </w:pPr>
            <w:r>
              <w:rPr>
                <w:rFonts w:hint="eastAsia" w:ascii="??_GB2312"/>
              </w:rPr>
              <w:t>成绩评定</w:t>
            </w:r>
          </w:p>
        </w:tc>
      </w:tr>
      <w:tr>
        <w:tblPrEx>
          <w:tblLayout w:type="fixed"/>
          <w:tblCellMar>
            <w:top w:w="0" w:type="dxa"/>
            <w:left w:w="108" w:type="dxa"/>
            <w:bottom w:w="0" w:type="dxa"/>
            <w:right w:w="108" w:type="dxa"/>
          </w:tblCellMar>
        </w:tblPrEx>
        <w:trPr>
          <w:trHeight w:val="513" w:hRule="atLeast"/>
          <w:jc w:val="center"/>
        </w:trPr>
        <w:tc>
          <w:tcPr>
            <w:tcW w:w="1119" w:type="dxa"/>
            <w:gridSpan w:val="3"/>
            <w:vMerge w:val="restart"/>
            <w:tcBorders>
              <w:top w:val="single" w:color="auto" w:sz="4" w:space="0"/>
              <w:left w:val="single" w:color="auto" w:sz="12" w:space="0"/>
              <w:bottom w:val="single" w:color="auto" w:sz="4" w:space="0"/>
              <w:right w:val="single" w:color="auto" w:sz="4" w:space="0"/>
            </w:tcBorders>
            <w:vAlign w:val="center"/>
          </w:tcPr>
          <w:p>
            <w:pPr>
              <w:jc w:val="center"/>
              <w:rPr>
                <w:rFonts w:ascii="??_GB2312"/>
              </w:rPr>
            </w:pPr>
            <w:r>
              <w:rPr>
                <w:rFonts w:hint="eastAsia" w:ascii="宋体" w:hAnsi="宋体" w:cs="Calibri"/>
              </w:rPr>
              <w:t>●</w:t>
            </w:r>
            <w:r>
              <w:rPr>
                <w:rFonts w:hint="eastAsia" w:ascii="??_GB2312"/>
              </w:rPr>
              <w:t>百分制</w:t>
            </w:r>
          </w:p>
          <w:p>
            <w:pPr>
              <w:jc w:val="center"/>
              <w:rPr>
                <w:rFonts w:ascii="??_GB2312"/>
              </w:rPr>
            </w:pPr>
            <w:r>
              <w:rPr>
                <w:rFonts w:ascii="??_GB2312"/>
              </w:rPr>
              <w:t>○</w:t>
            </w:r>
            <w:r>
              <w:rPr>
                <w:rFonts w:hint="eastAsia" w:ascii="??_GB2312"/>
              </w:rPr>
              <w:t>五级制</w:t>
            </w:r>
          </w:p>
          <w:p>
            <w:pPr>
              <w:jc w:val="center"/>
              <w:rPr>
                <w:rFonts w:ascii="??_GB2312"/>
              </w:rPr>
            </w:pPr>
            <w:r>
              <w:rPr>
                <w:rFonts w:ascii="??_GB2312"/>
              </w:rPr>
              <w:t>○</w:t>
            </w:r>
            <w:r>
              <w:rPr>
                <w:rFonts w:hint="eastAsia" w:ascii="??_GB2312"/>
              </w:rPr>
              <w:t>两级制</w:t>
            </w:r>
          </w:p>
        </w:tc>
        <w:tc>
          <w:tcPr>
            <w:tcW w:w="6167" w:type="dxa"/>
            <w:gridSpan w:val="8"/>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平时考核成绩比例（</w:t>
            </w:r>
            <w:r>
              <w:rPr>
                <w:rFonts w:ascii="??_GB2312"/>
              </w:rPr>
              <w:t>40</w:t>
            </w:r>
            <w:r>
              <w:rPr>
                <w:rFonts w:hint="eastAsia" w:ascii="??_GB2312"/>
              </w:rPr>
              <w:t>）</w:t>
            </w:r>
            <w:r>
              <w:rPr>
                <w:rFonts w:ascii="??_GB2312"/>
              </w:rPr>
              <w:t>%</w:t>
            </w:r>
            <w:r>
              <w:rPr>
                <w:rFonts w:hint="eastAsia" w:ascii="??_GB2312"/>
              </w:rPr>
              <w:t>，其中：</w:t>
            </w:r>
          </w:p>
        </w:tc>
        <w:tc>
          <w:tcPr>
            <w:tcW w:w="1345" w:type="dxa"/>
            <w:vMerge w:val="restart"/>
            <w:tcBorders>
              <w:top w:val="single" w:color="auto" w:sz="4" w:space="0"/>
              <w:left w:val="single" w:color="auto" w:sz="4" w:space="0"/>
              <w:bottom w:val="single" w:color="auto" w:sz="4" w:space="0"/>
              <w:right w:val="single" w:color="auto" w:sz="12" w:space="0"/>
            </w:tcBorders>
            <w:vAlign w:val="center"/>
          </w:tcPr>
          <w:p>
            <w:pPr>
              <w:jc w:val="center"/>
              <w:rPr>
                <w:rFonts w:ascii="??_GB2312"/>
              </w:rPr>
            </w:pPr>
            <w:r>
              <w:rPr>
                <w:rFonts w:hint="eastAsia" w:ascii="??_GB2312"/>
              </w:rPr>
              <w:t>期末考核</w:t>
            </w:r>
          </w:p>
          <w:p>
            <w:pPr>
              <w:jc w:val="center"/>
              <w:rPr>
                <w:rFonts w:ascii="??_GB2312"/>
              </w:rPr>
            </w:pPr>
            <w:r>
              <w:rPr>
                <w:rFonts w:hint="eastAsia" w:ascii="??_GB2312"/>
              </w:rPr>
              <w:t>成绩比例</w:t>
            </w:r>
          </w:p>
          <w:p>
            <w:pPr>
              <w:jc w:val="center"/>
              <w:rPr>
                <w:rFonts w:ascii="??_GB2312"/>
              </w:rPr>
            </w:pPr>
            <w:r>
              <w:rPr>
                <w:rFonts w:hint="eastAsia" w:ascii="??_GB2312"/>
              </w:rPr>
              <w:t>（</w:t>
            </w:r>
            <w:r>
              <w:rPr>
                <w:rFonts w:ascii="??_GB2312"/>
              </w:rPr>
              <w:t>60</w:t>
            </w:r>
            <w:r>
              <w:rPr>
                <w:rFonts w:hint="eastAsia" w:ascii="??_GB2312"/>
              </w:rPr>
              <w:t>）</w:t>
            </w:r>
            <w:r>
              <w:rPr>
                <w:rFonts w:ascii="??_GB2312"/>
              </w:rPr>
              <w:t>%</w:t>
            </w:r>
          </w:p>
        </w:tc>
      </w:tr>
      <w:tr>
        <w:tblPrEx>
          <w:tblLayout w:type="fixed"/>
          <w:tblCellMar>
            <w:top w:w="0" w:type="dxa"/>
            <w:left w:w="108" w:type="dxa"/>
            <w:bottom w:w="0" w:type="dxa"/>
            <w:right w:w="108" w:type="dxa"/>
          </w:tblCellMar>
        </w:tblPrEx>
        <w:trPr>
          <w:trHeight w:val="562" w:hRule="atLeast"/>
          <w:jc w:val="center"/>
        </w:trPr>
        <w:tc>
          <w:tcPr>
            <w:tcW w:w="1119" w:type="dxa"/>
            <w:gridSpan w:val="3"/>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_GB2312"/>
              </w:rPr>
            </w:pP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hAnsi="??"/>
                <w:kern w:val="0"/>
              </w:rPr>
              <w:t>项目</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ascii="??_GB2312"/>
              </w:rPr>
              <w:t>BBC</w:t>
            </w:r>
            <w:r>
              <w:rPr>
                <w:rFonts w:hint="eastAsia" w:ascii="??_GB2312"/>
              </w:rPr>
              <w:t>讨论</w:t>
            </w:r>
          </w:p>
        </w:tc>
        <w:tc>
          <w:tcPr>
            <w:tcW w:w="996" w:type="dxa"/>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阅读感想</w:t>
            </w:r>
          </w:p>
        </w:tc>
        <w:tc>
          <w:tcPr>
            <w:tcW w:w="134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小论文</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课程实践汇报</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_GB2312"/>
              </w:rPr>
            </w:pPr>
          </w:p>
        </w:tc>
        <w:tc>
          <w:tcPr>
            <w:tcW w:w="1345" w:type="dxa"/>
            <w:vMerge w:val="continue"/>
            <w:tcBorders>
              <w:top w:val="single" w:color="auto" w:sz="4" w:space="0"/>
              <w:left w:val="single" w:color="auto" w:sz="4" w:space="0"/>
              <w:bottom w:val="single" w:color="auto" w:sz="4" w:space="0"/>
              <w:right w:val="single" w:color="auto" w:sz="12" w:space="0"/>
            </w:tcBorders>
            <w:vAlign w:val="center"/>
          </w:tcPr>
          <w:p>
            <w:pPr>
              <w:widowControl/>
              <w:jc w:val="left"/>
              <w:rPr>
                <w:rFonts w:ascii="??_GB2312"/>
              </w:rPr>
            </w:pPr>
          </w:p>
        </w:tc>
      </w:tr>
      <w:tr>
        <w:tblPrEx>
          <w:tblLayout w:type="fixed"/>
          <w:tblCellMar>
            <w:top w:w="0" w:type="dxa"/>
            <w:left w:w="108" w:type="dxa"/>
            <w:bottom w:w="0" w:type="dxa"/>
            <w:right w:w="108" w:type="dxa"/>
          </w:tblCellMar>
        </w:tblPrEx>
        <w:trPr>
          <w:trHeight w:val="556" w:hRule="atLeast"/>
          <w:jc w:val="center"/>
        </w:trPr>
        <w:tc>
          <w:tcPr>
            <w:tcW w:w="1119" w:type="dxa"/>
            <w:gridSpan w:val="3"/>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_GB2312"/>
              </w:rPr>
            </w:pP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hAnsi="??"/>
                <w:kern w:val="0"/>
              </w:rPr>
              <w:t>权重</w:t>
            </w:r>
          </w:p>
        </w:tc>
        <w:tc>
          <w:tcPr>
            <w:tcW w:w="985" w:type="dxa"/>
            <w:tcBorders>
              <w:top w:val="single" w:color="auto" w:sz="4" w:space="0"/>
              <w:left w:val="single" w:color="auto" w:sz="4" w:space="0"/>
              <w:bottom w:val="single" w:color="auto" w:sz="4" w:space="0"/>
              <w:right w:val="single" w:color="auto" w:sz="4" w:space="0"/>
            </w:tcBorders>
            <w:vAlign w:val="center"/>
          </w:tcPr>
          <w:p>
            <w:pPr>
              <w:rPr>
                <w:rFonts w:ascii="??_GB2312"/>
              </w:rPr>
            </w:pPr>
            <w:r>
              <w:rPr>
                <w:rFonts w:ascii="??_GB2312"/>
              </w:rPr>
              <w:t>10%</w:t>
            </w:r>
          </w:p>
        </w:tc>
        <w:tc>
          <w:tcPr>
            <w:tcW w:w="996" w:type="dxa"/>
            <w:tcBorders>
              <w:top w:val="single" w:color="auto" w:sz="4" w:space="0"/>
              <w:left w:val="single" w:color="auto" w:sz="4" w:space="0"/>
              <w:bottom w:val="single" w:color="auto" w:sz="4" w:space="0"/>
              <w:right w:val="single" w:color="auto" w:sz="4" w:space="0"/>
            </w:tcBorders>
            <w:vAlign w:val="center"/>
          </w:tcPr>
          <w:p>
            <w:pPr>
              <w:rPr>
                <w:rFonts w:ascii="??_GB2312"/>
              </w:rPr>
            </w:pPr>
            <w:r>
              <w:rPr>
                <w:rFonts w:ascii="??_GB2312"/>
              </w:rPr>
              <w:t>10%</w:t>
            </w:r>
          </w:p>
        </w:tc>
        <w:tc>
          <w:tcPr>
            <w:tcW w:w="1347" w:type="dxa"/>
            <w:gridSpan w:val="2"/>
            <w:tcBorders>
              <w:top w:val="single" w:color="auto" w:sz="4" w:space="0"/>
              <w:left w:val="single" w:color="auto" w:sz="4" w:space="0"/>
              <w:bottom w:val="single" w:color="auto" w:sz="4" w:space="0"/>
              <w:right w:val="single" w:color="auto" w:sz="4" w:space="0"/>
            </w:tcBorders>
            <w:vAlign w:val="center"/>
          </w:tcPr>
          <w:p>
            <w:pPr>
              <w:rPr>
                <w:rFonts w:ascii="??_GB2312"/>
              </w:rPr>
            </w:pPr>
            <w:r>
              <w:rPr>
                <w:rFonts w:ascii="??_GB2312"/>
              </w:rPr>
              <w:t>10%</w:t>
            </w:r>
          </w:p>
        </w:tc>
        <w:tc>
          <w:tcPr>
            <w:tcW w:w="992" w:type="dxa"/>
            <w:tcBorders>
              <w:top w:val="single" w:color="auto" w:sz="4" w:space="0"/>
              <w:left w:val="single" w:color="auto" w:sz="4" w:space="0"/>
              <w:bottom w:val="single" w:color="auto" w:sz="4" w:space="0"/>
              <w:right w:val="single" w:color="auto" w:sz="4" w:space="0"/>
            </w:tcBorders>
            <w:vAlign w:val="center"/>
          </w:tcPr>
          <w:p>
            <w:pPr>
              <w:rPr>
                <w:rFonts w:ascii="??_GB2312"/>
              </w:rPr>
            </w:pPr>
            <w:r>
              <w:rPr>
                <w:rFonts w:ascii="??_GB2312"/>
              </w:rPr>
              <w:t>10%</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_GB2312"/>
              </w:rPr>
            </w:pPr>
          </w:p>
        </w:tc>
        <w:tc>
          <w:tcPr>
            <w:tcW w:w="1345" w:type="dxa"/>
            <w:vMerge w:val="continue"/>
            <w:tcBorders>
              <w:top w:val="single" w:color="auto" w:sz="4" w:space="0"/>
              <w:left w:val="single" w:color="auto" w:sz="4" w:space="0"/>
              <w:bottom w:val="single" w:color="auto" w:sz="4" w:space="0"/>
              <w:right w:val="single" w:color="auto" w:sz="12" w:space="0"/>
            </w:tcBorders>
            <w:vAlign w:val="center"/>
          </w:tcPr>
          <w:p>
            <w:pPr>
              <w:widowControl/>
              <w:jc w:val="left"/>
              <w:rPr>
                <w:rFonts w:ascii="??_GB2312"/>
              </w:rPr>
            </w:pPr>
          </w:p>
        </w:tc>
      </w:tr>
      <w:tr>
        <w:tblPrEx>
          <w:tblLayout w:type="fixed"/>
          <w:tblCellMar>
            <w:top w:w="0" w:type="dxa"/>
            <w:left w:w="108" w:type="dxa"/>
            <w:bottom w:w="0" w:type="dxa"/>
            <w:right w:w="108" w:type="dxa"/>
          </w:tblCellMar>
        </w:tblPrEx>
        <w:trPr>
          <w:jc w:val="center"/>
        </w:trPr>
        <w:tc>
          <w:tcPr>
            <w:tcW w:w="426" w:type="dxa"/>
            <w:tcBorders>
              <w:top w:val="single" w:color="auto" w:sz="4" w:space="0"/>
              <w:left w:val="single" w:color="auto" w:sz="12" w:space="0"/>
              <w:bottom w:val="single" w:color="auto" w:sz="12" w:space="0"/>
              <w:right w:val="single" w:color="auto" w:sz="4" w:space="0"/>
            </w:tcBorders>
            <w:vAlign w:val="center"/>
          </w:tcPr>
          <w:p>
            <w:pPr>
              <w:rPr>
                <w:rFonts w:ascii="??_GB2312"/>
              </w:rPr>
            </w:pPr>
            <w:r>
              <w:rPr>
                <w:rFonts w:hint="eastAsia" w:ascii="??_GB2312"/>
              </w:rPr>
              <w:t>课程简介</w:t>
            </w:r>
          </w:p>
        </w:tc>
        <w:tc>
          <w:tcPr>
            <w:tcW w:w="8205" w:type="dxa"/>
            <w:gridSpan w:val="11"/>
            <w:tcBorders>
              <w:top w:val="single" w:color="auto" w:sz="4" w:space="0"/>
              <w:left w:val="single" w:color="auto" w:sz="4" w:space="0"/>
              <w:bottom w:val="single" w:color="auto" w:sz="12" w:space="0"/>
              <w:right w:val="single" w:color="auto" w:sz="12" w:space="0"/>
            </w:tcBorders>
            <w:vAlign w:val="center"/>
          </w:tcPr>
          <w:p>
            <w:pPr>
              <w:spacing w:line="360" w:lineRule="auto"/>
              <w:ind w:firstLine="480"/>
              <w:rPr>
                <w:rFonts w:ascii="宋体"/>
                <w:bCs/>
                <w:color w:val="000000"/>
                <w:sz w:val="24"/>
              </w:rPr>
            </w:pPr>
            <w:r>
              <w:rPr>
                <w:rFonts w:hint="eastAsia" w:ascii="宋体" w:hAnsi="宋体"/>
                <w:sz w:val="24"/>
                <w:szCs w:val="24"/>
              </w:rPr>
              <w:t>通识公共选修课已经成为了当今大学课程的重要组成部分，为了促进学生更好的发展，为了使学生更好的适应社会，通识教育无疑成为了当今高等教育的主流趋势。而文学鉴赏对于提升当代大学生的人文素养具有重要的价值。</w:t>
            </w:r>
            <w:r>
              <w:rPr>
                <w:rFonts w:hint="eastAsia" w:ascii="宋体" w:hAnsi="宋体"/>
                <w:bCs/>
                <w:color w:val="000000"/>
                <w:sz w:val="24"/>
              </w:rPr>
              <w:t>通识教育始创于哈佛，传入国内</w:t>
            </w:r>
            <w:r>
              <w:rPr>
                <w:rFonts w:ascii="宋体" w:hAnsi="宋体"/>
                <w:bCs/>
                <w:color w:val="000000"/>
                <w:sz w:val="24"/>
              </w:rPr>
              <w:t>20</w:t>
            </w:r>
            <w:r>
              <w:rPr>
                <w:rFonts w:hint="eastAsia" w:ascii="宋体" w:hAnsi="宋体"/>
                <w:bCs/>
                <w:color w:val="000000"/>
                <w:sz w:val="24"/>
              </w:rPr>
              <w:t>多年，诸多大学开设通识教育课程，并在原有的教育体系中进行改革与创新，力求在教育理念、课程设计、教程编写、讲授方式等方面贯彻实施通识教育。在哈佛的大学通识教育体系中，文学占据非常重要的环节，而道德引导、精神追求被视为核心。</w:t>
            </w:r>
          </w:p>
          <w:p>
            <w:pPr>
              <w:spacing w:line="360" w:lineRule="auto"/>
              <w:ind w:firstLine="480" w:firstLineChars="200"/>
              <w:rPr>
                <w:rFonts w:ascii="宋体"/>
                <w:color w:val="000000"/>
                <w:sz w:val="24"/>
                <w:szCs w:val="24"/>
              </w:rPr>
            </w:pPr>
            <w:r>
              <w:rPr>
                <w:rFonts w:hint="eastAsia" w:ascii="宋体" w:hAnsi="宋体"/>
                <w:color w:val="000000"/>
                <w:sz w:val="24"/>
              </w:rPr>
              <w:t>诺贝尔遗嘱强调奖项授予“理想主义”者。</w:t>
            </w:r>
            <w:r>
              <w:rPr>
                <w:rFonts w:ascii="宋体" w:hAnsi="宋体"/>
                <w:color w:val="000000"/>
                <w:sz w:val="24"/>
                <w:szCs w:val="24"/>
              </w:rPr>
              <w:t>2012</w:t>
            </w:r>
            <w:r>
              <w:rPr>
                <w:rFonts w:hint="eastAsia" w:ascii="宋体" w:hAnsi="宋体"/>
                <w:color w:val="000000"/>
                <w:sz w:val="24"/>
                <w:szCs w:val="24"/>
              </w:rPr>
              <w:t>年诺贝尔文学奖给予中国汉语作家莫言，引发大学生中无论是中文专业还是非文学专业的学生，都对莫言作品及诺贝尔文学产生了极其浓厚的兴趣。但是，跨一个多世纪的诺贝尔文学作品，有其时代、政治、乃至国族等诸多因素，为帮助大学生了解世界文学之林的优秀作家和作品，特开此通识公共选修课程。</w:t>
            </w:r>
          </w:p>
          <w:p>
            <w:pPr>
              <w:widowControl/>
              <w:spacing w:line="360" w:lineRule="auto"/>
              <w:ind w:firstLine="465"/>
              <w:jc w:val="left"/>
              <w:rPr>
                <w:rFonts w:ascii="??_GB2312"/>
              </w:rPr>
            </w:pPr>
            <w:r>
              <w:rPr>
                <w:rFonts w:hint="eastAsia" w:ascii="宋体" w:hAnsi="宋体"/>
                <w:sz w:val="24"/>
                <w:szCs w:val="24"/>
              </w:rPr>
              <w:t>本公共选修课程，自</w:t>
            </w:r>
            <w:r>
              <w:rPr>
                <w:rFonts w:ascii="宋体" w:hAnsi="宋体"/>
                <w:sz w:val="24"/>
                <w:szCs w:val="24"/>
              </w:rPr>
              <w:t>2012</w:t>
            </w:r>
            <w:r>
              <w:rPr>
                <w:rFonts w:hint="eastAsia" w:ascii="宋体" w:hAnsi="宋体"/>
                <w:sz w:val="24"/>
                <w:szCs w:val="24"/>
              </w:rPr>
              <w:t>年起，持续授课</w:t>
            </w:r>
            <w:r>
              <w:rPr>
                <w:rFonts w:ascii="宋体" w:hAnsi="宋体"/>
                <w:sz w:val="24"/>
                <w:szCs w:val="24"/>
              </w:rPr>
              <w:t>5</w:t>
            </w:r>
            <w:r>
              <w:rPr>
                <w:rFonts w:hint="eastAsia" w:ascii="宋体" w:hAnsi="宋体"/>
                <w:sz w:val="24"/>
                <w:szCs w:val="24"/>
              </w:rPr>
              <w:t>年</w:t>
            </w:r>
            <w:r>
              <w:rPr>
                <w:rFonts w:ascii="宋体" w:hAnsi="宋体"/>
                <w:sz w:val="24"/>
                <w:szCs w:val="24"/>
              </w:rPr>
              <w:t>10</w:t>
            </w:r>
            <w:r>
              <w:rPr>
                <w:rFonts w:hint="eastAsia" w:ascii="宋体" w:hAnsi="宋体"/>
                <w:sz w:val="24"/>
                <w:szCs w:val="24"/>
              </w:rPr>
              <w:t>个学期，每学期，</w:t>
            </w:r>
            <w:r>
              <w:rPr>
                <w:rFonts w:ascii="宋体" w:hAnsi="宋体"/>
                <w:sz w:val="24"/>
                <w:szCs w:val="24"/>
              </w:rPr>
              <w:t>36</w:t>
            </w:r>
            <w:r>
              <w:rPr>
                <w:rFonts w:hint="eastAsia" w:ascii="宋体" w:hAnsi="宋体"/>
                <w:sz w:val="24"/>
                <w:szCs w:val="24"/>
              </w:rPr>
              <w:t>课时，学生学习期满通过考核可获得</w:t>
            </w:r>
            <w:r>
              <w:rPr>
                <w:rFonts w:ascii="宋体" w:hAnsi="宋体"/>
                <w:sz w:val="24"/>
                <w:szCs w:val="24"/>
              </w:rPr>
              <w:t>2</w:t>
            </w:r>
            <w:r>
              <w:rPr>
                <w:rFonts w:hint="eastAsia" w:ascii="宋体" w:hAnsi="宋体"/>
                <w:sz w:val="24"/>
                <w:szCs w:val="24"/>
              </w:rPr>
              <w:t>学分。教学大纲及授课内容适合在校各专业大学生，有助于提高其文学素养、思想情操、及锻炼起思维分析能力；同时课程中有意设置学生即兴参与讨论的方式，以锻炼其论辩和书写能力。启发思考、锤炼语言，潜质能力的培训，对任何专业的学生，无论未来是升学深造还是就业应聘，都将会有良好的帮助。故本公选课程每学期学生选课人数超越上限，最高达</w:t>
            </w:r>
            <w:r>
              <w:rPr>
                <w:rFonts w:ascii="宋体" w:hAnsi="宋体"/>
                <w:sz w:val="24"/>
                <w:szCs w:val="24"/>
              </w:rPr>
              <w:t>160</w:t>
            </w:r>
            <w:r>
              <w:rPr>
                <w:rFonts w:hint="eastAsia" w:ascii="宋体" w:hAnsi="宋体"/>
                <w:sz w:val="24"/>
                <w:szCs w:val="24"/>
              </w:rPr>
              <w:t>人选修。</w:t>
            </w:r>
            <w:r>
              <w:rPr>
                <w:rFonts w:ascii="宋体" w:hAnsi="宋体"/>
                <w:kern w:val="0"/>
                <w:sz w:val="24"/>
                <w:szCs w:val="24"/>
              </w:rPr>
              <w:t xml:space="preserve"> </w:t>
            </w:r>
            <w:r>
              <w:rPr>
                <w:rFonts w:ascii="宋体" w:hAnsi="宋体"/>
                <w:color w:val="000000"/>
                <w:kern w:val="0"/>
                <w:sz w:val="24"/>
                <w:szCs w:val="24"/>
              </w:rPr>
              <w:t xml:space="preserve"> </w:t>
            </w:r>
          </w:p>
          <w:p>
            <w:pPr>
              <w:rPr>
                <w:rFonts w:ascii="??_GB2312"/>
              </w:rPr>
            </w:pPr>
          </w:p>
        </w:tc>
      </w:tr>
    </w:tbl>
    <w:p>
      <w:pPr>
        <w:spacing w:afterLines="50"/>
        <w:rPr>
          <w:rFonts w:eastAsia="黑体"/>
          <w:sz w:val="28"/>
          <w:szCs w:val="28"/>
        </w:rPr>
      </w:pPr>
      <w:r>
        <w:rPr>
          <w:rFonts w:eastAsia="黑体"/>
          <w:sz w:val="28"/>
          <w:szCs w:val="28"/>
        </w:rPr>
        <w:t xml:space="preserve"> </w:t>
      </w:r>
    </w:p>
    <w:p>
      <w:pPr>
        <w:spacing w:afterLines="50"/>
        <w:rPr>
          <w:rFonts w:eastAsia="黑体"/>
          <w:sz w:val="28"/>
          <w:szCs w:val="28"/>
        </w:rPr>
      </w:pPr>
      <w:r>
        <w:rPr>
          <w:rFonts w:hint="eastAsia" w:ascii="黑体" w:hAnsi="黑体" w:eastAsia="黑体"/>
          <w:sz w:val="28"/>
          <w:szCs w:val="28"/>
        </w:rPr>
        <w:t>二、课程教学内容、教学要求及学时安排</w:t>
      </w:r>
    </w:p>
    <w:tbl>
      <w:tblPr>
        <w:tblStyle w:val="3"/>
        <w:tblW w:w="8721" w:type="dxa"/>
        <w:jc w:val="center"/>
        <w:tblInd w:w="0" w:type="dxa"/>
        <w:tblLayout w:type="fixed"/>
        <w:tblCellMar>
          <w:top w:w="0" w:type="dxa"/>
          <w:left w:w="108" w:type="dxa"/>
          <w:bottom w:w="0" w:type="dxa"/>
          <w:right w:w="108" w:type="dxa"/>
        </w:tblCellMar>
      </w:tblPr>
      <w:tblGrid>
        <w:gridCol w:w="737"/>
        <w:gridCol w:w="1114"/>
        <w:gridCol w:w="947"/>
        <w:gridCol w:w="3068"/>
        <w:gridCol w:w="449"/>
        <w:gridCol w:w="457"/>
        <w:gridCol w:w="485"/>
        <w:gridCol w:w="449"/>
        <w:gridCol w:w="449"/>
        <w:gridCol w:w="566"/>
      </w:tblGrid>
      <w:tr>
        <w:tblPrEx>
          <w:tblLayout w:type="fixed"/>
          <w:tblCellMar>
            <w:top w:w="0" w:type="dxa"/>
            <w:left w:w="108" w:type="dxa"/>
            <w:bottom w:w="0" w:type="dxa"/>
            <w:right w:w="108" w:type="dxa"/>
          </w:tblCellMar>
        </w:tblPrEx>
        <w:trPr>
          <w:jc w:val="center"/>
        </w:trPr>
        <w:tc>
          <w:tcPr>
            <w:tcW w:w="737" w:type="dxa"/>
            <w:vMerge w:val="restart"/>
            <w:tcBorders>
              <w:top w:val="single" w:color="auto" w:sz="12" w:space="0"/>
              <w:left w:val="single" w:color="auto" w:sz="12" w:space="0"/>
              <w:bottom w:val="single" w:color="auto" w:sz="2" w:space="0"/>
              <w:right w:val="single" w:color="auto" w:sz="2" w:space="0"/>
            </w:tcBorders>
            <w:vAlign w:val="center"/>
          </w:tcPr>
          <w:p>
            <w:pPr>
              <w:jc w:val="center"/>
              <w:rPr>
                <w:rFonts w:ascii="黑体" w:hAnsi="黑体" w:eastAsia="黑体"/>
              </w:rPr>
            </w:pPr>
            <w:r>
              <w:rPr>
                <w:rFonts w:hint="eastAsia" w:ascii="黑体" w:hAnsi="黑体" w:eastAsia="黑体"/>
              </w:rPr>
              <w:t>序号</w:t>
            </w:r>
          </w:p>
        </w:tc>
        <w:tc>
          <w:tcPr>
            <w:tcW w:w="1114" w:type="dxa"/>
            <w:vMerge w:val="restart"/>
            <w:tcBorders>
              <w:top w:val="single" w:color="auto" w:sz="12" w:space="0"/>
              <w:left w:val="single" w:color="auto" w:sz="2" w:space="0"/>
              <w:bottom w:val="single" w:color="auto" w:sz="2" w:space="0"/>
              <w:right w:val="single" w:color="auto" w:sz="2" w:space="0"/>
            </w:tcBorders>
            <w:vAlign w:val="center"/>
          </w:tcPr>
          <w:p>
            <w:pPr>
              <w:jc w:val="center"/>
              <w:rPr>
                <w:rFonts w:ascii="黑体" w:hAnsi="黑体" w:eastAsia="黑体"/>
                <w:color w:val="FF0000"/>
                <w:kern w:val="0"/>
              </w:rPr>
            </w:pPr>
            <w:r>
              <w:rPr>
                <w:rFonts w:hint="eastAsia" w:ascii="黑体" w:hAnsi="黑体" w:eastAsia="黑体"/>
              </w:rPr>
              <w:t>内容名称</w:t>
            </w:r>
          </w:p>
        </w:tc>
        <w:tc>
          <w:tcPr>
            <w:tcW w:w="4015" w:type="dxa"/>
            <w:gridSpan w:val="2"/>
            <w:vMerge w:val="restart"/>
            <w:tcBorders>
              <w:top w:val="single" w:color="auto" w:sz="12" w:space="0"/>
              <w:left w:val="single" w:color="auto" w:sz="2" w:space="0"/>
              <w:bottom w:val="single" w:color="auto" w:sz="2" w:space="0"/>
              <w:right w:val="single" w:color="auto" w:sz="2" w:space="0"/>
            </w:tcBorders>
            <w:vAlign w:val="center"/>
          </w:tcPr>
          <w:p>
            <w:pPr>
              <w:jc w:val="center"/>
              <w:rPr>
                <w:rFonts w:ascii="黑体" w:hAnsi="黑体" w:eastAsia="黑体"/>
                <w:color w:val="FF0000"/>
                <w:kern w:val="0"/>
              </w:rPr>
            </w:pPr>
            <w:r>
              <w:rPr>
                <w:rFonts w:hint="eastAsia" w:ascii="黑体" w:hAnsi="黑体" w:eastAsia="黑体"/>
              </w:rPr>
              <w:t>教学内容与教学要求</w:t>
            </w:r>
          </w:p>
        </w:tc>
        <w:tc>
          <w:tcPr>
            <w:tcW w:w="2289" w:type="dxa"/>
            <w:gridSpan w:val="5"/>
            <w:tcBorders>
              <w:top w:val="single" w:color="auto" w:sz="12" w:space="0"/>
              <w:left w:val="single" w:color="auto" w:sz="2" w:space="0"/>
              <w:bottom w:val="single" w:color="auto" w:sz="2" w:space="0"/>
              <w:right w:val="single" w:color="auto" w:sz="2" w:space="0"/>
            </w:tcBorders>
            <w:vAlign w:val="center"/>
          </w:tcPr>
          <w:p>
            <w:pPr>
              <w:jc w:val="center"/>
              <w:rPr>
                <w:rFonts w:ascii="黑体" w:hAnsi="黑体" w:eastAsia="黑体"/>
              </w:rPr>
            </w:pPr>
            <w:r>
              <w:rPr>
                <w:rFonts w:hint="eastAsia" w:ascii="黑体" w:hAnsi="黑体" w:eastAsia="黑体"/>
              </w:rPr>
              <w:t>学时安排</w:t>
            </w:r>
          </w:p>
        </w:tc>
        <w:tc>
          <w:tcPr>
            <w:tcW w:w="566" w:type="dxa"/>
            <w:vMerge w:val="restart"/>
            <w:tcBorders>
              <w:top w:val="single" w:color="auto" w:sz="12" w:space="0"/>
              <w:left w:val="single" w:color="auto" w:sz="2" w:space="0"/>
              <w:bottom w:val="single" w:color="auto" w:sz="2" w:space="0"/>
              <w:right w:val="single" w:color="auto" w:sz="12" w:space="0"/>
            </w:tcBorders>
            <w:vAlign w:val="center"/>
          </w:tcPr>
          <w:p>
            <w:pPr>
              <w:jc w:val="center"/>
              <w:rPr>
                <w:rFonts w:ascii="黑体" w:hAnsi="黑体" w:eastAsia="黑体"/>
              </w:rPr>
            </w:pPr>
            <w:r>
              <w:rPr>
                <w:rFonts w:hint="eastAsia" w:ascii="黑体" w:hAnsi="黑体" w:eastAsia="黑体"/>
              </w:rPr>
              <w:t>备注</w:t>
            </w:r>
          </w:p>
        </w:tc>
      </w:tr>
      <w:tr>
        <w:tblPrEx>
          <w:tblLayout w:type="fixed"/>
          <w:tblCellMar>
            <w:top w:w="0" w:type="dxa"/>
            <w:left w:w="108" w:type="dxa"/>
            <w:bottom w:w="0" w:type="dxa"/>
            <w:right w:w="108" w:type="dxa"/>
          </w:tblCellMar>
        </w:tblPrEx>
        <w:trPr>
          <w:jc w:val="center"/>
        </w:trPr>
        <w:tc>
          <w:tcPr>
            <w:tcW w:w="737" w:type="dxa"/>
            <w:vMerge w:val="continue"/>
            <w:tcBorders>
              <w:top w:val="single" w:color="auto" w:sz="12" w:space="0"/>
              <w:left w:val="single" w:color="auto" w:sz="12" w:space="0"/>
              <w:bottom w:val="single" w:color="auto" w:sz="2" w:space="0"/>
              <w:right w:val="single" w:color="auto" w:sz="2" w:space="0"/>
            </w:tcBorders>
            <w:vAlign w:val="center"/>
          </w:tcPr>
          <w:p>
            <w:pPr>
              <w:widowControl/>
              <w:jc w:val="left"/>
              <w:rPr>
                <w:rFonts w:ascii="黑体" w:hAnsi="黑体" w:eastAsia="黑体"/>
              </w:rPr>
            </w:pPr>
          </w:p>
        </w:tc>
        <w:tc>
          <w:tcPr>
            <w:tcW w:w="1114"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黑体" w:hAnsi="黑体" w:eastAsia="黑体"/>
                <w:color w:val="FF0000"/>
                <w:kern w:val="0"/>
              </w:rPr>
            </w:pPr>
          </w:p>
        </w:tc>
        <w:tc>
          <w:tcPr>
            <w:tcW w:w="4015" w:type="dxa"/>
            <w:gridSpan w:val="2"/>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黑体" w:hAnsi="黑体" w:eastAsia="黑体"/>
                <w:color w:val="FF0000"/>
                <w:kern w:val="0"/>
              </w:rPr>
            </w:pPr>
          </w:p>
        </w:tc>
        <w:tc>
          <w:tcPr>
            <w:tcW w:w="449" w:type="dxa"/>
            <w:vMerge w:val="restart"/>
            <w:tcBorders>
              <w:top w:val="single" w:color="auto" w:sz="2" w:space="0"/>
              <w:left w:val="single" w:color="auto" w:sz="2" w:space="0"/>
              <w:bottom w:val="single" w:color="auto" w:sz="2" w:space="0"/>
              <w:right w:val="single" w:color="auto" w:sz="2" w:space="0"/>
            </w:tcBorders>
            <w:vAlign w:val="center"/>
          </w:tcPr>
          <w:p>
            <w:pPr>
              <w:jc w:val="center"/>
              <w:rPr>
                <w:rFonts w:ascii="黑体" w:hAnsi="黑体" w:eastAsia="黑体"/>
              </w:rPr>
            </w:pPr>
            <w:r>
              <w:rPr>
                <w:rFonts w:hint="eastAsia" w:ascii="黑体" w:hAnsi="黑体" w:eastAsia="黑体"/>
              </w:rPr>
              <w:t>总学时</w:t>
            </w:r>
          </w:p>
        </w:tc>
        <w:tc>
          <w:tcPr>
            <w:tcW w:w="1840" w:type="dxa"/>
            <w:gridSpan w:val="4"/>
            <w:tcBorders>
              <w:top w:val="single" w:color="auto" w:sz="2" w:space="0"/>
              <w:left w:val="single" w:color="auto" w:sz="2" w:space="0"/>
              <w:bottom w:val="single" w:color="auto" w:sz="2" w:space="0"/>
              <w:right w:val="single" w:color="auto" w:sz="2" w:space="0"/>
            </w:tcBorders>
            <w:vAlign w:val="center"/>
          </w:tcPr>
          <w:p>
            <w:pPr>
              <w:jc w:val="center"/>
              <w:rPr>
                <w:rFonts w:ascii="黑体" w:hAnsi="黑体" w:eastAsia="黑体"/>
              </w:rPr>
            </w:pPr>
            <w:r>
              <w:rPr>
                <w:rFonts w:hint="eastAsia" w:ascii="黑体" w:hAnsi="黑体" w:eastAsia="黑体"/>
              </w:rPr>
              <w:t>其中</w:t>
            </w:r>
          </w:p>
        </w:tc>
        <w:tc>
          <w:tcPr>
            <w:tcW w:w="566" w:type="dxa"/>
            <w:vMerge w:val="continue"/>
            <w:tcBorders>
              <w:top w:val="single" w:color="auto" w:sz="12" w:space="0"/>
              <w:left w:val="single" w:color="auto" w:sz="2" w:space="0"/>
              <w:bottom w:val="single" w:color="auto" w:sz="2" w:space="0"/>
              <w:right w:val="single" w:color="auto" w:sz="12" w:space="0"/>
            </w:tcBorders>
            <w:vAlign w:val="center"/>
          </w:tcPr>
          <w:p>
            <w:pPr>
              <w:widowControl/>
              <w:jc w:val="left"/>
              <w:rPr>
                <w:rFonts w:ascii="黑体" w:hAnsi="黑体" w:eastAsia="黑体"/>
              </w:rPr>
            </w:pPr>
          </w:p>
        </w:tc>
      </w:tr>
      <w:tr>
        <w:tblPrEx>
          <w:tblLayout w:type="fixed"/>
          <w:tblCellMar>
            <w:top w:w="0" w:type="dxa"/>
            <w:left w:w="108" w:type="dxa"/>
            <w:bottom w:w="0" w:type="dxa"/>
            <w:right w:w="108" w:type="dxa"/>
          </w:tblCellMar>
        </w:tblPrEx>
        <w:trPr>
          <w:jc w:val="center"/>
        </w:trPr>
        <w:tc>
          <w:tcPr>
            <w:tcW w:w="737" w:type="dxa"/>
            <w:vMerge w:val="continue"/>
            <w:tcBorders>
              <w:top w:val="single" w:color="auto" w:sz="12" w:space="0"/>
              <w:left w:val="single" w:color="auto" w:sz="12" w:space="0"/>
              <w:bottom w:val="single" w:color="auto" w:sz="2" w:space="0"/>
              <w:right w:val="single" w:color="auto" w:sz="2" w:space="0"/>
            </w:tcBorders>
            <w:vAlign w:val="center"/>
          </w:tcPr>
          <w:p>
            <w:pPr>
              <w:widowControl/>
              <w:jc w:val="left"/>
              <w:rPr>
                <w:rFonts w:ascii="黑体" w:hAnsi="黑体" w:eastAsia="黑体"/>
              </w:rPr>
            </w:pPr>
          </w:p>
        </w:tc>
        <w:tc>
          <w:tcPr>
            <w:tcW w:w="1114"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黑体" w:hAnsi="黑体" w:eastAsia="黑体"/>
                <w:color w:val="FF0000"/>
                <w:kern w:val="0"/>
              </w:rPr>
            </w:pPr>
          </w:p>
        </w:tc>
        <w:tc>
          <w:tcPr>
            <w:tcW w:w="4015" w:type="dxa"/>
            <w:gridSpan w:val="2"/>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黑体" w:hAnsi="黑体" w:eastAsia="黑体"/>
                <w:color w:val="FF0000"/>
                <w:kern w:val="0"/>
              </w:rPr>
            </w:pPr>
          </w:p>
        </w:tc>
        <w:tc>
          <w:tcPr>
            <w:tcW w:w="449" w:type="dxa"/>
            <w:vMerge w:val="continue"/>
            <w:tcBorders>
              <w:top w:val="single" w:color="auto" w:sz="2" w:space="0"/>
              <w:left w:val="single" w:color="auto" w:sz="2" w:space="0"/>
              <w:bottom w:val="single" w:color="auto" w:sz="2" w:space="0"/>
              <w:right w:val="single" w:color="auto" w:sz="2" w:space="0"/>
            </w:tcBorders>
            <w:vAlign w:val="center"/>
          </w:tcPr>
          <w:p>
            <w:pPr>
              <w:widowControl/>
              <w:jc w:val="left"/>
              <w:rPr>
                <w:rFonts w:ascii="黑体" w:hAnsi="黑体" w:eastAsia="黑体"/>
              </w:rPr>
            </w:pPr>
          </w:p>
        </w:tc>
        <w:tc>
          <w:tcPr>
            <w:tcW w:w="457" w:type="dxa"/>
            <w:tcBorders>
              <w:top w:val="single" w:color="auto" w:sz="2" w:space="0"/>
              <w:left w:val="single" w:color="auto" w:sz="2" w:space="0"/>
              <w:bottom w:val="single" w:color="auto" w:sz="2" w:space="0"/>
              <w:right w:val="single" w:color="auto" w:sz="2" w:space="0"/>
            </w:tcBorders>
            <w:vAlign w:val="center"/>
          </w:tcPr>
          <w:p>
            <w:pPr>
              <w:jc w:val="center"/>
              <w:rPr>
                <w:rFonts w:ascii="黑体" w:hAnsi="黑体" w:eastAsia="黑体"/>
              </w:rPr>
            </w:pPr>
            <w:r>
              <w:rPr>
                <w:rFonts w:hint="eastAsia" w:ascii="黑体" w:hAnsi="黑体" w:eastAsia="黑体"/>
              </w:rPr>
              <w:t>讲授</w:t>
            </w:r>
          </w:p>
        </w:tc>
        <w:tc>
          <w:tcPr>
            <w:tcW w:w="485" w:type="dxa"/>
            <w:tcBorders>
              <w:top w:val="single" w:color="auto" w:sz="2" w:space="0"/>
              <w:left w:val="single" w:color="auto" w:sz="2" w:space="0"/>
              <w:bottom w:val="single" w:color="auto" w:sz="2" w:space="0"/>
              <w:right w:val="single" w:color="auto" w:sz="2" w:space="0"/>
            </w:tcBorders>
            <w:vAlign w:val="center"/>
          </w:tcPr>
          <w:p>
            <w:pPr>
              <w:jc w:val="center"/>
              <w:rPr>
                <w:rFonts w:ascii="黑体" w:hAnsi="黑体" w:eastAsia="黑体"/>
              </w:rPr>
            </w:pPr>
            <w:r>
              <w:rPr>
                <w:rFonts w:hint="eastAsia" w:ascii="黑体" w:hAnsi="黑体" w:eastAsia="黑体"/>
              </w:rPr>
              <w:t>实验</w:t>
            </w:r>
          </w:p>
        </w:tc>
        <w:tc>
          <w:tcPr>
            <w:tcW w:w="449" w:type="dxa"/>
            <w:tcBorders>
              <w:top w:val="single" w:color="auto" w:sz="2" w:space="0"/>
              <w:left w:val="single" w:color="auto" w:sz="2" w:space="0"/>
              <w:bottom w:val="single" w:color="auto" w:sz="2" w:space="0"/>
              <w:right w:val="single" w:color="auto" w:sz="2" w:space="0"/>
            </w:tcBorders>
            <w:vAlign w:val="center"/>
          </w:tcPr>
          <w:p>
            <w:pPr>
              <w:jc w:val="center"/>
              <w:rPr>
                <w:rFonts w:ascii="黑体" w:hAnsi="黑体" w:eastAsia="黑体"/>
              </w:rPr>
            </w:pPr>
            <w:r>
              <w:rPr>
                <w:rFonts w:hint="eastAsia" w:ascii="黑体" w:hAnsi="黑体" w:eastAsia="黑体"/>
              </w:rPr>
              <w:t>上机</w:t>
            </w:r>
          </w:p>
        </w:tc>
        <w:tc>
          <w:tcPr>
            <w:tcW w:w="449" w:type="dxa"/>
            <w:tcBorders>
              <w:top w:val="single" w:color="auto" w:sz="2" w:space="0"/>
              <w:left w:val="single" w:color="auto" w:sz="2" w:space="0"/>
              <w:bottom w:val="single" w:color="auto" w:sz="2" w:space="0"/>
              <w:right w:val="single" w:color="auto" w:sz="2" w:space="0"/>
            </w:tcBorders>
            <w:vAlign w:val="center"/>
          </w:tcPr>
          <w:p>
            <w:pPr>
              <w:jc w:val="center"/>
              <w:rPr>
                <w:rFonts w:ascii="黑体" w:hAnsi="黑体" w:eastAsia="黑体"/>
              </w:rPr>
            </w:pPr>
            <w:r>
              <w:rPr>
                <w:rFonts w:hint="eastAsia" w:ascii="黑体" w:hAnsi="黑体" w:eastAsia="黑体"/>
              </w:rPr>
              <w:t>其它</w:t>
            </w:r>
          </w:p>
        </w:tc>
        <w:tc>
          <w:tcPr>
            <w:tcW w:w="566" w:type="dxa"/>
            <w:vMerge w:val="continue"/>
            <w:tcBorders>
              <w:top w:val="single" w:color="auto" w:sz="12" w:space="0"/>
              <w:left w:val="single" w:color="auto" w:sz="2" w:space="0"/>
              <w:bottom w:val="single" w:color="auto" w:sz="2" w:space="0"/>
              <w:right w:val="single" w:color="auto" w:sz="12" w:space="0"/>
            </w:tcBorders>
            <w:vAlign w:val="center"/>
          </w:tcPr>
          <w:p>
            <w:pPr>
              <w:widowControl/>
              <w:jc w:val="left"/>
              <w:rPr>
                <w:rFonts w:ascii="黑体" w:hAnsi="黑体" w:eastAsia="黑体"/>
              </w:rPr>
            </w:pPr>
          </w:p>
        </w:tc>
      </w:tr>
      <w:tr>
        <w:tblPrEx>
          <w:tblLayout w:type="fixed"/>
          <w:tblCellMar>
            <w:top w:w="0" w:type="dxa"/>
            <w:left w:w="108" w:type="dxa"/>
            <w:bottom w:w="0" w:type="dxa"/>
            <w:right w:w="108" w:type="dxa"/>
          </w:tblCellMar>
        </w:tblPrEx>
        <w:trPr>
          <w:jc w:val="center"/>
        </w:trPr>
        <w:tc>
          <w:tcPr>
            <w:tcW w:w="737" w:type="dxa"/>
            <w:vMerge w:val="restart"/>
            <w:tcBorders>
              <w:top w:val="single" w:color="auto" w:sz="2" w:space="0"/>
              <w:left w:val="single" w:color="auto" w:sz="12" w:space="0"/>
              <w:bottom w:val="single" w:color="auto" w:sz="2" w:space="0"/>
              <w:right w:val="single" w:color="auto" w:sz="2" w:space="0"/>
            </w:tcBorders>
            <w:vAlign w:val="center"/>
          </w:tcPr>
          <w:p>
            <w:pPr>
              <w:jc w:val="center"/>
              <w:rPr>
                <w:rFonts w:ascii="??_GB2312"/>
              </w:rPr>
            </w:pPr>
            <w:r>
              <w:rPr>
                <w:rFonts w:ascii="??_GB2312"/>
              </w:rPr>
              <w:t>1</w:t>
            </w:r>
          </w:p>
        </w:tc>
        <w:tc>
          <w:tcPr>
            <w:tcW w:w="1114" w:type="dxa"/>
            <w:vMerge w:val="restart"/>
            <w:tcBorders>
              <w:top w:val="single" w:color="auto" w:sz="2" w:space="0"/>
              <w:left w:val="single" w:color="auto" w:sz="2" w:space="0"/>
              <w:bottom w:val="single" w:color="auto" w:sz="2" w:space="0"/>
              <w:right w:val="single" w:color="auto" w:sz="2" w:space="0"/>
            </w:tcBorders>
            <w:vAlign w:val="center"/>
          </w:tcPr>
          <w:p>
            <w:pPr>
              <w:rPr>
                <w:rFonts w:ascii="??_GB2312"/>
              </w:rPr>
            </w:pPr>
          </w:p>
        </w:tc>
        <w:tc>
          <w:tcPr>
            <w:tcW w:w="947" w:type="dxa"/>
            <w:tcBorders>
              <w:top w:val="single" w:color="auto" w:sz="2" w:space="0"/>
              <w:left w:val="single" w:color="auto" w:sz="2" w:space="0"/>
              <w:bottom w:val="single" w:color="auto" w:sz="2" w:space="0"/>
              <w:right w:val="single" w:color="auto" w:sz="2" w:space="0"/>
            </w:tcBorders>
            <w:vAlign w:val="center"/>
          </w:tcPr>
          <w:p>
            <w:pPr>
              <w:spacing w:line="240" w:lineRule="atLeast"/>
              <w:jc w:val="center"/>
              <w:rPr>
                <w:rFonts w:ascii="??_GB2312"/>
              </w:rPr>
            </w:pPr>
            <w:r>
              <w:rPr>
                <w:rFonts w:hint="eastAsia" w:ascii="??_GB2312"/>
              </w:rPr>
              <w:t>教学</w:t>
            </w:r>
          </w:p>
          <w:p>
            <w:pPr>
              <w:spacing w:line="240" w:lineRule="atLeast"/>
              <w:jc w:val="center"/>
              <w:rPr>
                <w:rFonts w:ascii="??_GB2312"/>
              </w:rPr>
            </w:pPr>
            <w:r>
              <w:rPr>
                <w:rFonts w:hint="eastAsia" w:ascii="??_GB2312"/>
              </w:rPr>
              <w:t>内容</w:t>
            </w:r>
          </w:p>
        </w:tc>
        <w:tc>
          <w:tcPr>
            <w:tcW w:w="3068" w:type="dxa"/>
            <w:tcBorders>
              <w:top w:val="single" w:color="auto" w:sz="2" w:space="0"/>
              <w:left w:val="single" w:color="auto" w:sz="2" w:space="0"/>
              <w:bottom w:val="single" w:color="auto" w:sz="2" w:space="0"/>
              <w:right w:val="single" w:color="auto" w:sz="2" w:space="0"/>
            </w:tcBorders>
            <w:vAlign w:val="center"/>
          </w:tcPr>
          <w:p>
            <w:pPr>
              <w:tabs>
                <w:tab w:val="center" w:pos="4153"/>
                <w:tab w:val="right" w:pos="8306"/>
              </w:tabs>
              <w:snapToGrid w:val="0"/>
              <w:spacing w:line="360" w:lineRule="auto"/>
              <w:ind w:firstLine="360" w:firstLineChars="150"/>
              <w:rPr>
                <w:rFonts w:ascii="宋体"/>
                <w:color w:val="000000"/>
                <w:sz w:val="24"/>
                <w:szCs w:val="18"/>
              </w:rPr>
            </w:pPr>
            <w:r>
              <w:rPr>
                <w:rFonts w:hint="eastAsia" w:ascii="宋体" w:hAnsi="宋体"/>
                <w:color w:val="000000"/>
                <w:sz w:val="24"/>
                <w:szCs w:val="18"/>
              </w:rPr>
              <w:t>《诺贝尔文学获奖作家作品解读》属高校通识素质教育公选课程。本课程以素质教育为本，引导学生认识诺贝尔奖特别是文学的意义。课程选讲自</w:t>
            </w:r>
            <w:r>
              <w:rPr>
                <w:rFonts w:ascii="宋体" w:hAnsi="宋体"/>
                <w:color w:val="000000"/>
                <w:sz w:val="24"/>
                <w:szCs w:val="18"/>
              </w:rPr>
              <w:t>1901</w:t>
            </w:r>
            <w:r>
              <w:rPr>
                <w:rFonts w:hint="eastAsia" w:ascii="宋体" w:hAnsi="宋体"/>
                <w:color w:val="000000"/>
                <w:sz w:val="24"/>
                <w:szCs w:val="18"/>
              </w:rPr>
              <w:t>年到</w:t>
            </w:r>
            <w:r>
              <w:rPr>
                <w:rFonts w:ascii="宋体" w:hAnsi="宋体"/>
                <w:color w:val="000000"/>
                <w:sz w:val="24"/>
                <w:szCs w:val="18"/>
              </w:rPr>
              <w:t>2017</w:t>
            </w:r>
            <w:r>
              <w:rPr>
                <w:rFonts w:hint="eastAsia" w:ascii="宋体" w:hAnsi="宋体"/>
                <w:color w:val="000000"/>
                <w:sz w:val="24"/>
                <w:szCs w:val="18"/>
              </w:rPr>
              <w:t>年诺贝尔文学奖的代表性作家作品，包括诺贝尔奖及作家传记故事，并以阅读指点及问题探讨激发学生课前预习课后讨论兴趣，鼓励学生课堂发言。借用多媒体音像及</w:t>
            </w:r>
            <w:r>
              <w:rPr>
                <w:rFonts w:ascii="宋体" w:hAnsi="宋体"/>
                <w:color w:val="000000"/>
                <w:sz w:val="24"/>
                <w:szCs w:val="18"/>
              </w:rPr>
              <w:t>PPT</w:t>
            </w:r>
            <w:r>
              <w:rPr>
                <w:rFonts w:hint="eastAsia" w:ascii="宋体" w:hAnsi="宋体"/>
                <w:color w:val="000000"/>
                <w:sz w:val="24"/>
                <w:szCs w:val="18"/>
              </w:rPr>
              <w:t>，营造愉快、轻松却又知识丰富的熏陶氛围。课程将突出中国汉语写作，并以比较思维，启发学生针对不同时代、不同地域、甚至不同肤色的作家作品，探讨文学与时代、文学与政治、文学与国族之间的关系。不仅使学生初步知晓世界文学由</w:t>
            </w:r>
            <w:r>
              <w:rPr>
                <w:rFonts w:ascii="宋体" w:hAnsi="宋体"/>
                <w:color w:val="000000"/>
                <w:sz w:val="24"/>
                <w:szCs w:val="18"/>
              </w:rPr>
              <w:t>20</w:t>
            </w:r>
            <w:r>
              <w:rPr>
                <w:rFonts w:hint="eastAsia" w:ascii="宋体" w:hAnsi="宋体"/>
                <w:color w:val="000000"/>
                <w:sz w:val="24"/>
                <w:szCs w:val="18"/>
              </w:rPr>
              <w:t>世纪至</w:t>
            </w:r>
            <w:r>
              <w:rPr>
                <w:rFonts w:ascii="宋体" w:hAnsi="宋体"/>
                <w:color w:val="000000"/>
                <w:sz w:val="24"/>
                <w:szCs w:val="18"/>
              </w:rPr>
              <w:t>21</w:t>
            </w:r>
            <w:r>
              <w:rPr>
                <w:rFonts w:hint="eastAsia" w:ascii="宋体" w:hAnsi="宋体"/>
                <w:color w:val="000000"/>
                <w:sz w:val="24"/>
                <w:szCs w:val="18"/>
              </w:rPr>
              <w:t>世纪的演变图景，而且力求教与学互动，做到深入浅出，知识趣味合一。</w:t>
            </w:r>
          </w:p>
          <w:p>
            <w:pPr>
              <w:tabs>
                <w:tab w:val="center" w:pos="4153"/>
                <w:tab w:val="right" w:pos="8306"/>
              </w:tabs>
              <w:snapToGrid w:val="0"/>
              <w:spacing w:line="360" w:lineRule="auto"/>
              <w:ind w:firstLine="360" w:firstLineChars="150"/>
              <w:rPr>
                <w:rFonts w:ascii="宋体"/>
                <w:color w:val="000000"/>
                <w:sz w:val="24"/>
                <w:szCs w:val="18"/>
              </w:rPr>
            </w:pPr>
            <w:r>
              <w:rPr>
                <w:rFonts w:hint="eastAsia" w:ascii="宋体" w:hAnsi="宋体"/>
                <w:color w:val="000000"/>
                <w:sz w:val="24"/>
                <w:szCs w:val="18"/>
              </w:rPr>
              <w:t>每学期教学内容，会根据学生具体情况，在上百年获奖者中微调选择。以下</w:t>
            </w:r>
          </w:p>
          <w:p>
            <w:pPr>
              <w:tabs>
                <w:tab w:val="center" w:pos="4153"/>
                <w:tab w:val="right" w:pos="8306"/>
              </w:tabs>
              <w:snapToGrid w:val="0"/>
              <w:spacing w:line="360" w:lineRule="auto"/>
              <w:rPr>
                <w:rFonts w:ascii="宋体"/>
                <w:color w:val="000000"/>
                <w:sz w:val="24"/>
                <w:szCs w:val="18"/>
              </w:rPr>
            </w:pPr>
            <w:r>
              <w:rPr>
                <w:rFonts w:hint="eastAsia" w:ascii="宋体" w:hAnsi="宋体"/>
                <w:color w:val="000000"/>
                <w:sz w:val="24"/>
                <w:szCs w:val="18"/>
              </w:rPr>
              <w:t>目录为一学期内容举例：</w:t>
            </w:r>
          </w:p>
          <w:p>
            <w:pPr>
              <w:widowControl/>
              <w:numPr>
                <w:ilvl w:val="0"/>
                <w:numId w:val="1"/>
              </w:numPr>
              <w:spacing w:line="360" w:lineRule="auto"/>
              <w:ind w:left="714" w:hanging="357"/>
              <w:jc w:val="left"/>
              <w:rPr>
                <w:sz w:val="24"/>
                <w:szCs w:val="18"/>
              </w:rPr>
            </w:pPr>
            <w:r>
              <w:rPr>
                <w:rFonts w:hint="eastAsia"/>
                <w:sz w:val="24"/>
                <w:szCs w:val="18"/>
              </w:rPr>
              <w:t>苏利</w:t>
            </w:r>
            <w:r>
              <w:rPr>
                <w:sz w:val="24"/>
                <w:szCs w:val="18"/>
              </w:rPr>
              <w:t>·</w:t>
            </w:r>
            <w:r>
              <w:rPr>
                <w:rFonts w:hint="eastAsia"/>
                <w:sz w:val="24"/>
                <w:szCs w:val="18"/>
              </w:rPr>
              <w:t>普吕多姆（</w:t>
            </w:r>
            <w:r>
              <w:rPr>
                <w:sz w:val="24"/>
                <w:szCs w:val="18"/>
              </w:rPr>
              <w:t>1901</w:t>
            </w:r>
            <w:r>
              <w:rPr>
                <w:rFonts w:hint="eastAsia"/>
                <w:sz w:val="24"/>
                <w:szCs w:val="18"/>
              </w:rPr>
              <w:t>）《孤独与深思》；【阅读提示】</w:t>
            </w:r>
          </w:p>
          <w:p>
            <w:pPr>
              <w:widowControl/>
              <w:numPr>
                <w:ilvl w:val="0"/>
                <w:numId w:val="1"/>
              </w:numPr>
              <w:spacing w:line="360" w:lineRule="auto"/>
              <w:ind w:left="714" w:hanging="357"/>
              <w:jc w:val="left"/>
              <w:rPr>
                <w:sz w:val="24"/>
                <w:szCs w:val="18"/>
              </w:rPr>
            </w:pPr>
            <w:r>
              <w:rPr>
                <w:rFonts w:hint="eastAsia"/>
                <w:sz w:val="24"/>
                <w:szCs w:val="18"/>
              </w:rPr>
              <w:t>托马斯</w:t>
            </w:r>
            <w:r>
              <w:rPr>
                <w:sz w:val="24"/>
                <w:szCs w:val="18"/>
              </w:rPr>
              <w:t>·</w:t>
            </w:r>
            <w:r>
              <w:rPr>
                <w:rFonts w:hint="eastAsia"/>
                <w:sz w:val="24"/>
                <w:szCs w:val="18"/>
              </w:rPr>
              <w:t>斯特恩斯</w:t>
            </w:r>
            <w:r>
              <w:rPr>
                <w:sz w:val="24"/>
                <w:szCs w:val="18"/>
              </w:rPr>
              <w:t>·</w:t>
            </w:r>
            <w:r>
              <w:rPr>
                <w:rFonts w:hint="eastAsia"/>
                <w:sz w:val="24"/>
                <w:szCs w:val="18"/>
              </w:rPr>
              <w:t>艾略特（</w:t>
            </w:r>
            <w:r>
              <w:rPr>
                <w:sz w:val="24"/>
                <w:szCs w:val="18"/>
              </w:rPr>
              <w:t>1948</w:t>
            </w:r>
            <w:r>
              <w:rPr>
                <w:rFonts w:hint="eastAsia"/>
                <w:sz w:val="24"/>
                <w:szCs w:val="18"/>
              </w:rPr>
              <w:t>）《四个四重奏》【阅读提示】</w:t>
            </w:r>
          </w:p>
          <w:p>
            <w:pPr>
              <w:widowControl/>
              <w:numPr>
                <w:ilvl w:val="0"/>
                <w:numId w:val="1"/>
              </w:numPr>
              <w:spacing w:line="360" w:lineRule="auto"/>
              <w:ind w:left="714" w:hanging="357"/>
              <w:jc w:val="left"/>
              <w:rPr>
                <w:color w:val="000000"/>
                <w:sz w:val="24"/>
                <w:szCs w:val="18"/>
              </w:rPr>
            </w:pPr>
            <w:r>
              <w:rPr>
                <w:rFonts w:hint="eastAsia"/>
                <w:color w:val="000000"/>
                <w:sz w:val="24"/>
                <w:szCs w:val="18"/>
              </w:rPr>
              <w:t>莫言（</w:t>
            </w:r>
            <w:r>
              <w:rPr>
                <w:color w:val="000000"/>
                <w:sz w:val="24"/>
                <w:szCs w:val="18"/>
              </w:rPr>
              <w:t>2012</w:t>
            </w:r>
            <w:r>
              <w:rPr>
                <w:rFonts w:hint="eastAsia"/>
                <w:color w:val="000000"/>
                <w:sz w:val="24"/>
                <w:szCs w:val="18"/>
              </w:rPr>
              <w:t>）</w:t>
            </w:r>
            <w:r>
              <w:rPr>
                <w:rFonts w:hint="eastAsia" w:ascii="宋体" w:hAnsi="宋体"/>
                <w:sz w:val="24"/>
                <w:szCs w:val="18"/>
              </w:rPr>
              <w:t>《红高粱》、</w:t>
            </w:r>
            <w:r>
              <w:rPr>
                <w:rFonts w:hint="eastAsia" w:ascii="宋体" w:hAnsi="宋体"/>
                <w:color w:val="000000"/>
                <w:sz w:val="24"/>
                <w:szCs w:val="18"/>
              </w:rPr>
              <w:t>《丰乳肥臀》、《蛙》</w:t>
            </w:r>
            <w:r>
              <w:rPr>
                <w:rFonts w:hint="eastAsia"/>
                <w:sz w:val="24"/>
                <w:szCs w:val="18"/>
              </w:rPr>
              <w:t>【阅读提示】</w:t>
            </w:r>
          </w:p>
          <w:p>
            <w:pPr>
              <w:widowControl/>
              <w:numPr>
                <w:ilvl w:val="0"/>
                <w:numId w:val="1"/>
              </w:numPr>
              <w:spacing w:line="360" w:lineRule="auto"/>
              <w:ind w:left="714" w:hanging="357"/>
              <w:jc w:val="left"/>
              <w:rPr>
                <w:color w:val="000000"/>
                <w:sz w:val="24"/>
                <w:szCs w:val="18"/>
              </w:rPr>
            </w:pPr>
            <w:r>
              <w:rPr>
                <w:rFonts w:hint="eastAsia"/>
                <w:sz w:val="24"/>
                <w:szCs w:val="18"/>
              </w:rPr>
              <w:t>君特</w:t>
            </w:r>
            <w:r>
              <w:rPr>
                <w:sz w:val="24"/>
                <w:szCs w:val="18"/>
              </w:rPr>
              <w:t>-</w:t>
            </w:r>
            <w:r>
              <w:rPr>
                <w:rFonts w:hint="eastAsia"/>
                <w:sz w:val="24"/>
                <w:szCs w:val="18"/>
              </w:rPr>
              <w:t>格拉斯（</w:t>
            </w:r>
            <w:r>
              <w:rPr>
                <w:sz w:val="24"/>
                <w:szCs w:val="18"/>
              </w:rPr>
              <w:t>1999</w:t>
            </w:r>
            <w:r>
              <w:rPr>
                <w:rFonts w:hint="eastAsia"/>
                <w:sz w:val="24"/>
                <w:szCs w:val="18"/>
              </w:rPr>
              <w:t>）《铁皮鼓》；《剥洋葱》【阅读提示】</w:t>
            </w:r>
          </w:p>
          <w:p>
            <w:pPr>
              <w:widowControl/>
              <w:numPr>
                <w:ilvl w:val="0"/>
                <w:numId w:val="1"/>
              </w:numPr>
              <w:spacing w:line="360" w:lineRule="auto"/>
              <w:ind w:left="714" w:hanging="357"/>
              <w:jc w:val="left"/>
              <w:rPr>
                <w:color w:val="000000"/>
                <w:sz w:val="24"/>
                <w:szCs w:val="18"/>
              </w:rPr>
            </w:pPr>
            <w:r>
              <w:rPr>
                <w:rFonts w:hint="eastAsia" w:ascii="宋体" w:hAnsi="宋体"/>
                <w:color w:val="000000"/>
                <w:sz w:val="24"/>
                <w:szCs w:val="18"/>
              </w:rPr>
              <w:t>马尔克斯（</w:t>
            </w:r>
            <w:r>
              <w:rPr>
                <w:rFonts w:ascii="宋体" w:hAnsi="宋体"/>
                <w:color w:val="000000"/>
                <w:sz w:val="24"/>
                <w:szCs w:val="18"/>
              </w:rPr>
              <w:t>1982</w:t>
            </w:r>
            <w:r>
              <w:rPr>
                <w:rFonts w:hint="eastAsia" w:ascii="宋体" w:hAnsi="宋体"/>
                <w:color w:val="000000"/>
                <w:sz w:val="24"/>
                <w:szCs w:val="18"/>
              </w:rPr>
              <w:t>）《百年孤独》、《霍乱时的爱情》</w:t>
            </w:r>
            <w:r>
              <w:rPr>
                <w:rFonts w:hint="eastAsia"/>
                <w:sz w:val="24"/>
                <w:szCs w:val="18"/>
              </w:rPr>
              <w:t>【阅读提示】</w:t>
            </w:r>
          </w:p>
          <w:p>
            <w:pPr>
              <w:widowControl/>
              <w:numPr>
                <w:ilvl w:val="0"/>
                <w:numId w:val="1"/>
              </w:numPr>
              <w:spacing w:line="360" w:lineRule="auto"/>
              <w:ind w:left="714" w:hanging="357"/>
              <w:jc w:val="left"/>
              <w:rPr>
                <w:color w:val="000000"/>
                <w:sz w:val="24"/>
                <w:szCs w:val="18"/>
              </w:rPr>
            </w:pPr>
            <w:r>
              <w:rPr>
                <w:rFonts w:hint="eastAsia" w:ascii="宋体" w:hAnsi="宋体"/>
                <w:color w:val="000000"/>
                <w:sz w:val="24"/>
                <w:szCs w:val="18"/>
              </w:rPr>
              <w:t>略萨（</w:t>
            </w:r>
            <w:r>
              <w:rPr>
                <w:rFonts w:ascii="宋体" w:hAnsi="宋体"/>
                <w:color w:val="000000"/>
                <w:sz w:val="24"/>
                <w:szCs w:val="18"/>
              </w:rPr>
              <w:t>2010</w:t>
            </w:r>
            <w:r>
              <w:rPr>
                <w:rFonts w:hint="eastAsia" w:ascii="宋体" w:hAnsi="宋体"/>
                <w:color w:val="000000"/>
                <w:sz w:val="24"/>
                <w:szCs w:val="18"/>
              </w:rPr>
              <w:t>）《酒吧长谈》、《胡里亚姨妈》</w:t>
            </w:r>
            <w:r>
              <w:rPr>
                <w:rFonts w:hint="eastAsia"/>
                <w:sz w:val="24"/>
                <w:szCs w:val="18"/>
              </w:rPr>
              <w:t>【阅读提示】</w:t>
            </w:r>
          </w:p>
          <w:p>
            <w:pPr>
              <w:widowControl/>
              <w:numPr>
                <w:ilvl w:val="0"/>
                <w:numId w:val="1"/>
              </w:numPr>
              <w:spacing w:line="360" w:lineRule="auto"/>
              <w:ind w:left="714" w:hanging="357"/>
              <w:jc w:val="left"/>
              <w:rPr>
                <w:color w:val="000000"/>
                <w:sz w:val="24"/>
                <w:szCs w:val="18"/>
              </w:rPr>
            </w:pPr>
            <w:r>
              <w:rPr>
                <w:rFonts w:hint="eastAsia"/>
                <w:sz w:val="24"/>
                <w:szCs w:val="18"/>
              </w:rPr>
              <w:t>威廉</w:t>
            </w:r>
            <w:r>
              <w:rPr>
                <w:sz w:val="24"/>
                <w:szCs w:val="18"/>
              </w:rPr>
              <w:t>·</w:t>
            </w:r>
            <w:r>
              <w:rPr>
                <w:rFonts w:hint="eastAsia"/>
                <w:sz w:val="24"/>
                <w:szCs w:val="18"/>
              </w:rPr>
              <w:t>福克纳（</w:t>
            </w:r>
            <w:r>
              <w:rPr>
                <w:sz w:val="24"/>
                <w:szCs w:val="18"/>
              </w:rPr>
              <w:t>1949</w:t>
            </w:r>
            <w:r>
              <w:rPr>
                <w:rFonts w:hint="eastAsia"/>
                <w:sz w:val="24"/>
                <w:szCs w:val="18"/>
              </w:rPr>
              <w:t>）《我弥留之际》及《喧哗与骚动》；【阅读提示】</w:t>
            </w:r>
          </w:p>
          <w:p>
            <w:pPr>
              <w:widowControl/>
              <w:numPr>
                <w:ilvl w:val="0"/>
                <w:numId w:val="1"/>
              </w:numPr>
              <w:spacing w:line="360" w:lineRule="auto"/>
              <w:ind w:left="714" w:hanging="357"/>
              <w:jc w:val="left"/>
              <w:rPr>
                <w:color w:val="000000"/>
                <w:sz w:val="24"/>
                <w:szCs w:val="18"/>
              </w:rPr>
            </w:pPr>
            <w:r>
              <w:rPr>
                <w:rFonts w:hint="eastAsia"/>
                <w:sz w:val="24"/>
                <w:szCs w:val="18"/>
              </w:rPr>
              <w:t>阿尔贝</w:t>
            </w:r>
            <w:r>
              <w:rPr>
                <w:sz w:val="24"/>
                <w:szCs w:val="18"/>
              </w:rPr>
              <w:t>·</w:t>
            </w:r>
            <w:r>
              <w:rPr>
                <w:rFonts w:hint="eastAsia"/>
                <w:sz w:val="24"/>
                <w:szCs w:val="18"/>
              </w:rPr>
              <w:t>加缪（</w:t>
            </w:r>
            <w:r>
              <w:rPr>
                <w:sz w:val="24"/>
                <w:szCs w:val="18"/>
              </w:rPr>
              <w:t>1957</w:t>
            </w:r>
            <w:r>
              <w:rPr>
                <w:rFonts w:hint="eastAsia"/>
                <w:sz w:val="24"/>
                <w:szCs w:val="18"/>
              </w:rPr>
              <w:t>）《局外人</w:t>
            </w:r>
            <w:r>
              <w:rPr>
                <w:sz w:val="24"/>
                <w:szCs w:val="18"/>
              </w:rPr>
              <w:t>·</w:t>
            </w:r>
            <w:r>
              <w:rPr>
                <w:rFonts w:hint="eastAsia"/>
                <w:sz w:val="24"/>
                <w:szCs w:val="18"/>
              </w:rPr>
              <w:t>鼠疫》、《西绪福斯》；【阅读提示】</w:t>
            </w:r>
          </w:p>
          <w:p>
            <w:pPr>
              <w:widowControl/>
              <w:numPr>
                <w:ilvl w:val="0"/>
                <w:numId w:val="1"/>
              </w:numPr>
              <w:spacing w:line="360" w:lineRule="auto"/>
              <w:ind w:left="714" w:hanging="357"/>
              <w:jc w:val="left"/>
              <w:rPr>
                <w:color w:val="000000"/>
                <w:sz w:val="24"/>
                <w:szCs w:val="18"/>
              </w:rPr>
            </w:pPr>
            <w:r>
              <w:rPr>
                <w:rFonts w:hint="eastAsia"/>
                <w:sz w:val="24"/>
                <w:szCs w:val="18"/>
              </w:rPr>
              <w:t>保尔</w:t>
            </w:r>
            <w:r>
              <w:rPr>
                <w:sz w:val="24"/>
                <w:szCs w:val="18"/>
              </w:rPr>
              <w:t>·</w:t>
            </w:r>
            <w:r>
              <w:rPr>
                <w:rFonts w:hint="eastAsia"/>
                <w:sz w:val="24"/>
                <w:szCs w:val="18"/>
              </w:rPr>
              <w:t>托马斯</w:t>
            </w:r>
            <w:r>
              <w:rPr>
                <w:sz w:val="24"/>
                <w:szCs w:val="18"/>
              </w:rPr>
              <w:t>·</w:t>
            </w:r>
            <w:r>
              <w:rPr>
                <w:rFonts w:hint="eastAsia"/>
                <w:sz w:val="24"/>
                <w:szCs w:val="18"/>
              </w:rPr>
              <w:t>曼（</w:t>
            </w:r>
            <w:r>
              <w:rPr>
                <w:sz w:val="24"/>
                <w:szCs w:val="18"/>
              </w:rPr>
              <w:t>1929</w:t>
            </w:r>
            <w:r>
              <w:rPr>
                <w:rFonts w:hint="eastAsia"/>
                <w:sz w:val="24"/>
                <w:szCs w:val="18"/>
              </w:rPr>
              <w:t>）《魔山》；【阅读提示】</w:t>
            </w:r>
          </w:p>
          <w:p>
            <w:pPr>
              <w:widowControl/>
              <w:spacing w:line="360" w:lineRule="auto"/>
              <w:ind w:left="357"/>
              <w:jc w:val="left"/>
              <w:rPr>
                <w:color w:val="000000"/>
                <w:sz w:val="24"/>
                <w:szCs w:val="18"/>
              </w:rPr>
            </w:pPr>
            <w:r>
              <w:rPr>
                <w:sz w:val="24"/>
                <w:szCs w:val="18"/>
              </w:rPr>
              <w:t>10</w:t>
            </w:r>
            <w:r>
              <w:rPr>
                <w:rFonts w:hint="eastAsia"/>
                <w:sz w:val="24"/>
                <w:szCs w:val="18"/>
              </w:rPr>
              <w:t>，欧内斯特</w:t>
            </w:r>
            <w:r>
              <w:rPr>
                <w:sz w:val="24"/>
                <w:szCs w:val="18"/>
              </w:rPr>
              <w:t>·</w:t>
            </w:r>
            <w:r>
              <w:rPr>
                <w:rFonts w:hint="eastAsia"/>
                <w:sz w:val="24"/>
                <w:szCs w:val="18"/>
              </w:rPr>
              <w:t>海明威（</w:t>
            </w:r>
            <w:r>
              <w:rPr>
                <w:sz w:val="24"/>
                <w:szCs w:val="18"/>
              </w:rPr>
              <w:t>1954</w:t>
            </w:r>
            <w:r>
              <w:rPr>
                <w:rFonts w:hint="eastAsia"/>
                <w:sz w:val="24"/>
                <w:szCs w:val="18"/>
              </w:rPr>
              <w:t>）《老人与海》；</w:t>
            </w:r>
            <w:r>
              <w:rPr>
                <w:rFonts w:hint="eastAsia" w:ascii="宋体" w:hAnsi="宋体"/>
                <w:color w:val="000000"/>
                <w:sz w:val="24"/>
                <w:szCs w:val="18"/>
              </w:rPr>
              <w:t>《乞力马扎罗的雪》</w:t>
            </w:r>
            <w:r>
              <w:rPr>
                <w:rFonts w:hint="eastAsia"/>
                <w:sz w:val="24"/>
                <w:szCs w:val="18"/>
              </w:rPr>
              <w:t>【阅读提示】</w:t>
            </w:r>
          </w:p>
          <w:p>
            <w:pPr>
              <w:widowControl/>
              <w:spacing w:line="360" w:lineRule="auto"/>
              <w:ind w:firstLine="360" w:firstLineChars="150"/>
              <w:jc w:val="left"/>
              <w:rPr>
                <w:color w:val="000000"/>
                <w:sz w:val="24"/>
                <w:szCs w:val="18"/>
              </w:rPr>
            </w:pPr>
            <w:r>
              <w:rPr>
                <w:sz w:val="24"/>
                <w:szCs w:val="18"/>
              </w:rPr>
              <w:t>11</w:t>
            </w:r>
            <w:r>
              <w:rPr>
                <w:rFonts w:hint="eastAsia"/>
                <w:sz w:val="24"/>
                <w:szCs w:val="18"/>
              </w:rPr>
              <w:t>，</w:t>
            </w:r>
            <w:r>
              <w:rPr>
                <w:rFonts w:hint="eastAsia" w:ascii="宋体" w:hAnsi="宋体"/>
                <w:bCs/>
                <w:color w:val="000000"/>
                <w:sz w:val="24"/>
                <w:szCs w:val="18"/>
              </w:rPr>
              <w:t>米哈依尔</w:t>
            </w:r>
            <w:r>
              <w:rPr>
                <w:rFonts w:hint="eastAsia" w:ascii="宋体"/>
                <w:bCs/>
                <w:color w:val="000000"/>
                <w:sz w:val="24"/>
                <w:szCs w:val="18"/>
              </w:rPr>
              <w:t>·</w:t>
            </w:r>
            <w:r>
              <w:rPr>
                <w:rFonts w:hint="eastAsia" w:ascii="宋体" w:hAnsi="宋体"/>
                <w:bCs/>
                <w:color w:val="000000"/>
                <w:sz w:val="24"/>
                <w:szCs w:val="18"/>
              </w:rPr>
              <w:t>肖洛霍夫</w:t>
            </w:r>
            <w:r>
              <w:rPr>
                <w:rFonts w:hint="eastAsia" w:ascii="宋体" w:hAnsi="宋体"/>
                <w:color w:val="000000"/>
                <w:sz w:val="24"/>
                <w:szCs w:val="18"/>
              </w:rPr>
              <w:t>（</w:t>
            </w:r>
            <w:r>
              <w:rPr>
                <w:rFonts w:ascii="宋体" w:hAnsi="宋体"/>
                <w:color w:val="000000"/>
                <w:sz w:val="24"/>
                <w:szCs w:val="18"/>
              </w:rPr>
              <w:t>1965</w:t>
            </w:r>
            <w:r>
              <w:rPr>
                <w:rFonts w:hint="eastAsia" w:ascii="宋体" w:hAnsi="宋体"/>
                <w:color w:val="000000"/>
                <w:sz w:val="24"/>
                <w:szCs w:val="18"/>
              </w:rPr>
              <w:t>）《静静的顿河》、</w:t>
            </w:r>
            <w:r>
              <w:rPr>
                <w:rFonts w:hint="eastAsia"/>
                <w:sz w:val="24"/>
                <w:szCs w:val="18"/>
              </w:rPr>
              <w:t>【阅读提示】</w:t>
            </w:r>
          </w:p>
          <w:p>
            <w:pPr>
              <w:widowControl/>
              <w:spacing w:line="360" w:lineRule="auto"/>
              <w:ind w:firstLine="360" w:firstLineChars="150"/>
              <w:jc w:val="left"/>
              <w:rPr>
                <w:color w:val="000000"/>
                <w:sz w:val="24"/>
                <w:szCs w:val="18"/>
              </w:rPr>
            </w:pPr>
            <w:r>
              <w:rPr>
                <w:rFonts w:ascii="宋体" w:hAnsi="宋体"/>
                <w:color w:val="000000"/>
                <w:sz w:val="24"/>
                <w:szCs w:val="18"/>
              </w:rPr>
              <w:t>12</w:t>
            </w:r>
            <w:r>
              <w:rPr>
                <w:rFonts w:hint="eastAsia" w:ascii="宋体" w:hAnsi="宋体"/>
                <w:color w:val="000000"/>
                <w:sz w:val="24"/>
                <w:szCs w:val="18"/>
              </w:rPr>
              <w:t>，帕斯捷尔纳克（</w:t>
            </w:r>
            <w:r>
              <w:rPr>
                <w:rFonts w:ascii="宋体" w:hAnsi="宋体"/>
                <w:color w:val="000000"/>
                <w:sz w:val="24"/>
                <w:szCs w:val="18"/>
              </w:rPr>
              <w:t>1958</w:t>
            </w:r>
            <w:r>
              <w:rPr>
                <w:rFonts w:hint="eastAsia" w:ascii="宋体" w:hAnsi="宋体"/>
                <w:color w:val="000000"/>
                <w:sz w:val="24"/>
                <w:szCs w:val="18"/>
              </w:rPr>
              <w:t>）《日瓦戈医生》；</w:t>
            </w:r>
            <w:r>
              <w:rPr>
                <w:rFonts w:hint="eastAsia"/>
                <w:sz w:val="24"/>
                <w:szCs w:val="18"/>
              </w:rPr>
              <w:t>【阅读提示】</w:t>
            </w:r>
          </w:p>
          <w:p>
            <w:pPr>
              <w:widowControl/>
              <w:spacing w:line="360" w:lineRule="auto"/>
              <w:ind w:left="360"/>
              <w:jc w:val="left"/>
              <w:rPr>
                <w:color w:val="000000"/>
                <w:sz w:val="24"/>
                <w:szCs w:val="18"/>
              </w:rPr>
            </w:pPr>
            <w:r>
              <w:rPr>
                <w:sz w:val="24"/>
                <w:szCs w:val="18"/>
              </w:rPr>
              <w:t>13</w:t>
            </w:r>
            <w:r>
              <w:rPr>
                <w:rFonts w:hint="eastAsia"/>
                <w:sz w:val="24"/>
                <w:szCs w:val="18"/>
              </w:rPr>
              <w:t>，川端康成（</w:t>
            </w:r>
            <w:r>
              <w:rPr>
                <w:sz w:val="24"/>
                <w:szCs w:val="18"/>
              </w:rPr>
              <w:t>1968</w:t>
            </w:r>
            <w:r>
              <w:rPr>
                <w:rFonts w:hint="eastAsia"/>
                <w:sz w:val="24"/>
                <w:szCs w:val="18"/>
              </w:rPr>
              <w:t>）《雪国》、《伊豆舞女》【阅读提示】</w:t>
            </w:r>
          </w:p>
          <w:p>
            <w:pPr>
              <w:widowControl/>
              <w:spacing w:line="360" w:lineRule="auto"/>
              <w:ind w:firstLine="360" w:firstLineChars="150"/>
              <w:jc w:val="left"/>
              <w:rPr>
                <w:sz w:val="24"/>
                <w:szCs w:val="18"/>
              </w:rPr>
            </w:pPr>
            <w:r>
              <w:rPr>
                <w:sz w:val="24"/>
                <w:szCs w:val="18"/>
              </w:rPr>
              <w:t>14</w:t>
            </w:r>
            <w:r>
              <w:rPr>
                <w:rFonts w:hint="eastAsia"/>
                <w:sz w:val="24"/>
                <w:szCs w:val="18"/>
              </w:rPr>
              <w:t>，大江健三郎（</w:t>
            </w:r>
            <w:r>
              <w:rPr>
                <w:sz w:val="24"/>
                <w:szCs w:val="18"/>
              </w:rPr>
              <w:t>1994</w:t>
            </w:r>
            <w:r>
              <w:rPr>
                <w:rFonts w:hint="eastAsia"/>
                <w:sz w:val="24"/>
                <w:szCs w:val="18"/>
              </w:rPr>
              <w:t>）《个人的体检》【阅读提示】</w:t>
            </w:r>
          </w:p>
          <w:p>
            <w:pPr>
              <w:widowControl/>
              <w:spacing w:line="360" w:lineRule="auto"/>
              <w:ind w:firstLine="360" w:firstLineChars="150"/>
              <w:jc w:val="left"/>
              <w:rPr>
                <w:color w:val="000000"/>
                <w:sz w:val="24"/>
                <w:szCs w:val="18"/>
              </w:rPr>
            </w:pPr>
            <w:r>
              <w:rPr>
                <w:sz w:val="24"/>
                <w:szCs w:val="18"/>
              </w:rPr>
              <w:t>15</w:t>
            </w:r>
            <w:r>
              <w:rPr>
                <w:rFonts w:hint="eastAsia"/>
                <w:sz w:val="24"/>
                <w:szCs w:val="18"/>
              </w:rPr>
              <w:t>，帕特里克·莫迪亚诺（</w:t>
            </w:r>
            <w:r>
              <w:rPr>
                <w:sz w:val="24"/>
                <w:szCs w:val="18"/>
              </w:rPr>
              <w:t>2014</w:t>
            </w:r>
            <w:r>
              <w:rPr>
                <w:rFonts w:hint="eastAsia"/>
                <w:sz w:val="24"/>
                <w:szCs w:val="18"/>
              </w:rPr>
              <w:t>）《缓刑》、《暗店街》、《地平线》【阅读提示】</w:t>
            </w:r>
          </w:p>
          <w:p>
            <w:pPr>
              <w:widowControl/>
              <w:spacing w:line="360" w:lineRule="auto"/>
              <w:ind w:firstLine="360" w:firstLineChars="150"/>
              <w:jc w:val="left"/>
              <w:rPr>
                <w:color w:val="000000"/>
                <w:sz w:val="24"/>
                <w:szCs w:val="18"/>
              </w:rPr>
            </w:pPr>
            <w:r>
              <w:rPr>
                <w:sz w:val="24"/>
                <w:szCs w:val="18"/>
              </w:rPr>
              <w:t>15</w:t>
            </w:r>
            <w:r>
              <w:rPr>
                <w:rFonts w:hint="eastAsia"/>
                <w:sz w:val="24"/>
                <w:szCs w:val="18"/>
              </w:rPr>
              <w:t>，多丽丝</w:t>
            </w:r>
            <w:r>
              <w:rPr>
                <w:sz w:val="24"/>
                <w:szCs w:val="18"/>
              </w:rPr>
              <w:t>·</w:t>
            </w:r>
            <w:r>
              <w:rPr>
                <w:rFonts w:hint="eastAsia"/>
                <w:sz w:val="24"/>
                <w:szCs w:val="18"/>
              </w:rPr>
              <w:t>莱辛（</w:t>
            </w:r>
            <w:r>
              <w:rPr>
                <w:sz w:val="24"/>
                <w:szCs w:val="18"/>
              </w:rPr>
              <w:t>2007</w:t>
            </w:r>
            <w:r>
              <w:rPr>
                <w:rFonts w:hint="eastAsia"/>
                <w:sz w:val="24"/>
                <w:szCs w:val="18"/>
              </w:rPr>
              <w:t>）《金色笔记》【阅读提示】</w:t>
            </w:r>
          </w:p>
          <w:p>
            <w:pPr>
              <w:widowControl/>
              <w:spacing w:line="360" w:lineRule="auto"/>
              <w:ind w:firstLine="360" w:firstLineChars="150"/>
              <w:jc w:val="left"/>
              <w:rPr>
                <w:sz w:val="24"/>
                <w:szCs w:val="18"/>
              </w:rPr>
            </w:pPr>
            <w:r>
              <w:rPr>
                <w:sz w:val="24"/>
                <w:szCs w:val="18"/>
              </w:rPr>
              <w:t>16</w:t>
            </w:r>
            <w:r>
              <w:rPr>
                <w:rFonts w:hint="eastAsia"/>
                <w:sz w:val="24"/>
                <w:szCs w:val="18"/>
              </w:rPr>
              <w:t>，托尼</w:t>
            </w:r>
            <w:r>
              <w:rPr>
                <w:sz w:val="24"/>
                <w:szCs w:val="18"/>
              </w:rPr>
              <w:t>·</w:t>
            </w:r>
            <w:r>
              <w:rPr>
                <w:rFonts w:hint="eastAsia"/>
                <w:sz w:val="24"/>
                <w:szCs w:val="18"/>
              </w:rPr>
              <w:t>莫里森（</w:t>
            </w:r>
            <w:r>
              <w:rPr>
                <w:sz w:val="24"/>
                <w:szCs w:val="18"/>
              </w:rPr>
              <w:t>1993</w:t>
            </w:r>
            <w:r>
              <w:rPr>
                <w:rFonts w:hint="eastAsia"/>
                <w:sz w:val="24"/>
                <w:szCs w:val="18"/>
              </w:rPr>
              <w:t>）《所罗门之歌》、《</w:t>
            </w:r>
            <w:r>
              <w:rPr>
                <w:sz w:val="24"/>
                <w:szCs w:val="18"/>
              </w:rPr>
              <w:t>Beloved</w:t>
            </w:r>
            <w:r>
              <w:rPr>
                <w:rFonts w:hint="eastAsia"/>
                <w:sz w:val="24"/>
                <w:szCs w:val="18"/>
              </w:rPr>
              <w:t>》【阅读提示】</w:t>
            </w:r>
          </w:p>
          <w:p>
            <w:pPr>
              <w:widowControl/>
              <w:spacing w:line="360" w:lineRule="auto"/>
              <w:ind w:firstLine="360" w:firstLineChars="150"/>
              <w:jc w:val="left"/>
              <w:rPr>
                <w:sz w:val="24"/>
                <w:szCs w:val="18"/>
              </w:rPr>
            </w:pPr>
            <w:r>
              <w:rPr>
                <w:sz w:val="24"/>
                <w:szCs w:val="18"/>
              </w:rPr>
              <w:t>17</w:t>
            </w:r>
            <w:r>
              <w:rPr>
                <w:rFonts w:hint="eastAsia"/>
                <w:sz w:val="24"/>
                <w:szCs w:val="18"/>
              </w:rPr>
              <w:t>，艾丽丝·门罗（</w:t>
            </w:r>
            <w:r>
              <w:rPr>
                <w:sz w:val="24"/>
                <w:szCs w:val="18"/>
              </w:rPr>
              <w:t>2013</w:t>
            </w:r>
            <w:r>
              <w:rPr>
                <w:rFonts w:hint="eastAsia"/>
                <w:sz w:val="24"/>
                <w:szCs w:val="18"/>
              </w:rPr>
              <w:t>）《逃离》、《年轻的朋友》【阅读提示】</w:t>
            </w:r>
          </w:p>
          <w:p>
            <w:pPr>
              <w:rPr>
                <w:rFonts w:ascii="??_GB2312"/>
              </w:rPr>
            </w:pPr>
            <w:r>
              <w:rPr>
                <w:rFonts w:hint="eastAsia"/>
                <w:b/>
              </w:rPr>
              <w:t>难点：</w:t>
            </w:r>
            <w:r>
              <w:rPr>
                <w:rFonts w:hint="eastAsia"/>
              </w:rPr>
              <w:t>别国诺贝尔获奖作家及作品在中国的译介传播研究资料已经有不少，但困难是中国作家像莫言作品及汉语作品获奖者高行健的《灵山》，它们在外国的传播影响，研究还很薄弱。目前能知道的是一些关于莫言的翻译家，比如英译者葛浩文；瑞典文译者陈安娜，以及日语翻译吉田富夫等。但是译介与文化接受是否同步，难能知晓，且文化交流中的意识形态离析，都将存一定难度。</w:t>
            </w:r>
          </w:p>
        </w:tc>
        <w:tc>
          <w:tcPr>
            <w:tcW w:w="449" w:type="dxa"/>
            <w:tcBorders>
              <w:top w:val="single" w:color="auto" w:sz="2" w:space="0"/>
              <w:left w:val="single" w:color="auto" w:sz="2" w:space="0"/>
              <w:bottom w:val="single" w:color="auto" w:sz="2" w:space="0"/>
              <w:right w:val="single" w:color="auto" w:sz="2" w:space="0"/>
            </w:tcBorders>
            <w:vAlign w:val="center"/>
          </w:tcPr>
          <w:p>
            <w:pPr>
              <w:rPr>
                <w:rFonts w:ascii="??_GB2312"/>
              </w:rPr>
            </w:pPr>
            <w:r>
              <w:rPr>
                <w:rFonts w:ascii="??_GB2312"/>
              </w:rPr>
              <w:t>36</w:t>
            </w:r>
          </w:p>
        </w:tc>
        <w:tc>
          <w:tcPr>
            <w:tcW w:w="457" w:type="dxa"/>
            <w:tcBorders>
              <w:top w:val="single" w:color="auto" w:sz="2" w:space="0"/>
              <w:left w:val="single" w:color="auto" w:sz="2" w:space="0"/>
              <w:bottom w:val="single" w:color="auto" w:sz="2" w:space="0"/>
              <w:right w:val="single" w:color="auto" w:sz="2" w:space="0"/>
            </w:tcBorders>
            <w:vAlign w:val="center"/>
          </w:tcPr>
          <w:p>
            <w:pPr>
              <w:rPr>
                <w:rFonts w:ascii="??_GB2312"/>
              </w:rPr>
            </w:pPr>
            <w:r>
              <w:rPr>
                <w:rFonts w:ascii="??_GB2312"/>
              </w:rPr>
              <w:t>32</w:t>
            </w:r>
          </w:p>
        </w:tc>
        <w:tc>
          <w:tcPr>
            <w:tcW w:w="485" w:type="dxa"/>
            <w:tcBorders>
              <w:top w:val="single" w:color="auto" w:sz="2" w:space="0"/>
              <w:left w:val="single" w:color="auto" w:sz="2" w:space="0"/>
              <w:bottom w:val="single" w:color="auto" w:sz="2" w:space="0"/>
              <w:right w:val="single" w:color="auto" w:sz="2" w:space="0"/>
            </w:tcBorders>
            <w:vAlign w:val="center"/>
          </w:tcPr>
          <w:p>
            <w:pPr>
              <w:rPr>
                <w:rFonts w:ascii="??_GB2312"/>
              </w:rPr>
            </w:pPr>
          </w:p>
        </w:tc>
        <w:tc>
          <w:tcPr>
            <w:tcW w:w="449" w:type="dxa"/>
            <w:tcBorders>
              <w:top w:val="single" w:color="auto" w:sz="2" w:space="0"/>
              <w:left w:val="single" w:color="auto" w:sz="2" w:space="0"/>
              <w:bottom w:val="single" w:color="auto" w:sz="2" w:space="0"/>
              <w:right w:val="single" w:color="auto" w:sz="2" w:space="0"/>
            </w:tcBorders>
            <w:vAlign w:val="center"/>
          </w:tcPr>
          <w:p>
            <w:pPr>
              <w:rPr>
                <w:rFonts w:ascii="??_GB2312"/>
              </w:rPr>
            </w:pPr>
          </w:p>
        </w:tc>
        <w:tc>
          <w:tcPr>
            <w:tcW w:w="449" w:type="dxa"/>
            <w:tcBorders>
              <w:top w:val="single" w:color="auto" w:sz="2" w:space="0"/>
              <w:left w:val="single" w:color="auto" w:sz="2" w:space="0"/>
              <w:bottom w:val="single" w:color="auto" w:sz="2" w:space="0"/>
              <w:right w:val="single" w:color="auto" w:sz="2" w:space="0"/>
            </w:tcBorders>
            <w:vAlign w:val="center"/>
          </w:tcPr>
          <w:p>
            <w:pPr>
              <w:rPr>
                <w:rFonts w:ascii="??_GB2312"/>
              </w:rPr>
            </w:pPr>
            <w:r>
              <w:rPr>
                <w:rFonts w:ascii="??_GB2312"/>
              </w:rPr>
              <w:t>4</w:t>
            </w:r>
          </w:p>
        </w:tc>
        <w:tc>
          <w:tcPr>
            <w:tcW w:w="566" w:type="dxa"/>
            <w:tcBorders>
              <w:top w:val="single" w:color="auto" w:sz="2" w:space="0"/>
              <w:left w:val="single" w:color="auto" w:sz="2" w:space="0"/>
              <w:bottom w:val="single" w:color="auto" w:sz="2" w:space="0"/>
              <w:right w:val="single" w:color="auto" w:sz="12" w:space="0"/>
            </w:tcBorders>
            <w:vAlign w:val="center"/>
          </w:tcPr>
          <w:p>
            <w:pPr>
              <w:rPr>
                <w:rFonts w:ascii="??_GB2312"/>
              </w:rPr>
            </w:pPr>
            <w:r>
              <w:rPr>
                <w:rFonts w:hint="eastAsia" w:ascii="??_GB2312"/>
              </w:rPr>
              <w:t>附录有</w:t>
            </w:r>
            <w:r>
              <w:rPr>
                <w:rFonts w:hint="eastAsia"/>
                <w:b/>
                <w:sz w:val="24"/>
                <w:szCs w:val="24"/>
              </w:rPr>
              <w:t>课程章节及教学目标举例</w:t>
            </w:r>
          </w:p>
        </w:tc>
      </w:tr>
      <w:tr>
        <w:tblPrEx>
          <w:tblLayout w:type="fixed"/>
          <w:tblCellMar>
            <w:top w:w="0" w:type="dxa"/>
            <w:left w:w="108" w:type="dxa"/>
            <w:bottom w:w="0" w:type="dxa"/>
            <w:right w:w="108" w:type="dxa"/>
          </w:tblCellMar>
        </w:tblPrEx>
        <w:trPr>
          <w:jc w:val="center"/>
        </w:trPr>
        <w:tc>
          <w:tcPr>
            <w:tcW w:w="737" w:type="dxa"/>
            <w:vMerge w:val="continue"/>
            <w:tcBorders>
              <w:top w:val="single" w:color="auto" w:sz="2" w:space="0"/>
              <w:left w:val="single" w:color="auto" w:sz="12" w:space="0"/>
              <w:bottom w:val="single" w:color="auto" w:sz="2" w:space="0"/>
              <w:right w:val="single" w:color="auto" w:sz="2" w:space="0"/>
            </w:tcBorders>
            <w:vAlign w:val="center"/>
          </w:tcPr>
          <w:p>
            <w:pPr>
              <w:widowControl/>
              <w:jc w:val="left"/>
              <w:rPr>
                <w:rFonts w:ascii="??_GB2312"/>
              </w:rPr>
            </w:pPr>
          </w:p>
        </w:tc>
        <w:tc>
          <w:tcPr>
            <w:tcW w:w="1114" w:type="dxa"/>
            <w:vMerge w:val="continue"/>
            <w:tcBorders>
              <w:top w:val="single" w:color="auto" w:sz="2" w:space="0"/>
              <w:left w:val="single" w:color="auto" w:sz="2" w:space="0"/>
              <w:bottom w:val="single" w:color="auto" w:sz="2" w:space="0"/>
              <w:right w:val="single" w:color="auto" w:sz="2" w:space="0"/>
            </w:tcBorders>
            <w:vAlign w:val="center"/>
          </w:tcPr>
          <w:p>
            <w:pPr>
              <w:widowControl/>
              <w:jc w:val="left"/>
              <w:rPr>
                <w:rFonts w:ascii="??_GB2312"/>
              </w:rPr>
            </w:pPr>
          </w:p>
        </w:tc>
        <w:tc>
          <w:tcPr>
            <w:tcW w:w="947" w:type="dxa"/>
            <w:tcBorders>
              <w:top w:val="single" w:color="auto" w:sz="2" w:space="0"/>
              <w:left w:val="single" w:color="auto" w:sz="2" w:space="0"/>
              <w:bottom w:val="single" w:color="auto" w:sz="2" w:space="0"/>
              <w:right w:val="single" w:color="auto" w:sz="2" w:space="0"/>
            </w:tcBorders>
            <w:vAlign w:val="center"/>
          </w:tcPr>
          <w:p>
            <w:pPr>
              <w:spacing w:line="240" w:lineRule="atLeast"/>
              <w:jc w:val="center"/>
              <w:rPr>
                <w:rFonts w:ascii="??_GB2312"/>
              </w:rPr>
            </w:pPr>
            <w:r>
              <w:rPr>
                <w:rFonts w:hint="eastAsia" w:ascii="??_GB2312"/>
              </w:rPr>
              <w:t>教学</w:t>
            </w:r>
          </w:p>
          <w:p>
            <w:pPr>
              <w:spacing w:line="240" w:lineRule="atLeast"/>
              <w:jc w:val="center"/>
              <w:rPr>
                <w:rFonts w:ascii="??_GB2312"/>
              </w:rPr>
            </w:pPr>
            <w:r>
              <w:rPr>
                <w:rFonts w:hint="eastAsia" w:ascii="??_GB2312"/>
              </w:rPr>
              <w:t>要求</w:t>
            </w:r>
          </w:p>
        </w:tc>
        <w:tc>
          <w:tcPr>
            <w:tcW w:w="3068" w:type="dxa"/>
            <w:tcBorders>
              <w:top w:val="single" w:color="auto" w:sz="2" w:space="0"/>
              <w:left w:val="single" w:color="auto" w:sz="2" w:space="0"/>
              <w:bottom w:val="single" w:color="auto" w:sz="2" w:space="0"/>
              <w:right w:val="single" w:color="auto" w:sz="2" w:space="0"/>
            </w:tcBorders>
            <w:vAlign w:val="center"/>
          </w:tcPr>
          <w:p>
            <w:pPr>
              <w:spacing w:line="360" w:lineRule="auto"/>
              <w:ind w:firstLine="480" w:firstLineChars="200"/>
              <w:rPr>
                <w:rFonts w:ascii="宋体"/>
                <w:sz w:val="24"/>
              </w:rPr>
            </w:pPr>
            <w:r>
              <w:rPr>
                <w:rFonts w:hint="eastAsia" w:ascii="宋体" w:hAnsi="宋体"/>
                <w:sz w:val="24"/>
              </w:rPr>
              <w:t>大学应重视“育人”，而非“制器”。文学通识教育的关键就是要培养学生成为有思想、精神、感情、个性的人。关注学生身心的全面发展，通过审美情操的培养，促使学生在生理与心理、情感与智力、道德与意志等因素的全面而协调的发展。因此本课程的目标</w:t>
            </w:r>
          </w:p>
          <w:p>
            <w:pPr>
              <w:spacing w:line="360" w:lineRule="auto"/>
              <w:ind w:firstLine="480" w:firstLineChars="200"/>
              <w:rPr>
                <w:rFonts w:ascii="宋体"/>
                <w:sz w:val="24"/>
              </w:rPr>
            </w:pPr>
            <w:r>
              <w:rPr>
                <w:rFonts w:hint="eastAsia" w:ascii="宋体" w:hAnsi="宋体"/>
                <w:sz w:val="24"/>
              </w:rPr>
              <w:t>有以下三点：</w:t>
            </w:r>
          </w:p>
          <w:p>
            <w:pPr>
              <w:spacing w:line="360" w:lineRule="auto"/>
              <w:ind w:firstLine="240" w:firstLineChars="100"/>
              <w:rPr>
                <w:rFonts w:ascii="宋体"/>
                <w:sz w:val="24"/>
              </w:rPr>
            </w:pPr>
            <w:r>
              <w:rPr>
                <w:rFonts w:hint="eastAsia" w:ascii="宋体" w:hAnsi="宋体"/>
                <w:bCs/>
                <w:color w:val="000000"/>
                <w:sz w:val="24"/>
              </w:rPr>
              <w:t>（</w:t>
            </w:r>
            <w:r>
              <w:rPr>
                <w:rFonts w:ascii="宋体" w:hAnsi="宋体"/>
                <w:bCs/>
                <w:color w:val="000000"/>
                <w:sz w:val="24"/>
              </w:rPr>
              <w:t>1</w:t>
            </w:r>
            <w:r>
              <w:rPr>
                <w:rFonts w:hint="eastAsia" w:ascii="宋体" w:hAnsi="宋体"/>
                <w:bCs/>
                <w:color w:val="000000"/>
                <w:sz w:val="24"/>
              </w:rPr>
              <w:t>）</w:t>
            </w:r>
            <w:r>
              <w:rPr>
                <w:rFonts w:hint="eastAsia" w:ascii="宋体" w:hAnsi="宋体"/>
                <w:sz w:val="24"/>
              </w:rPr>
              <w:t>在知识与信息社会中，通过鉴赏课程，使学生在多元文化体系中掌握辨识能力，达到深刻地认识自己与了解自己，培养其自我完善、自我发展的能力。培养多元人文素养，激发人文关怀。培养公民素养</w:t>
            </w:r>
          </w:p>
          <w:p>
            <w:pPr>
              <w:spacing w:line="360" w:lineRule="auto"/>
              <w:ind w:firstLine="240" w:firstLineChars="100"/>
              <w:rPr>
                <w:rFonts w:ascii="宋体"/>
                <w:sz w:val="24"/>
              </w:rPr>
            </w:pPr>
            <w:r>
              <w:rPr>
                <w:rFonts w:hint="eastAsia" w:ascii="宋体" w:hAnsi="宋体"/>
                <w:sz w:val="24"/>
              </w:rPr>
              <w:t>（</w:t>
            </w:r>
            <w:r>
              <w:rPr>
                <w:rFonts w:ascii="宋体" w:hAnsi="宋体"/>
                <w:sz w:val="24"/>
              </w:rPr>
              <w:t>2</w:t>
            </w:r>
            <w:r>
              <w:rPr>
                <w:rFonts w:hint="eastAsia" w:ascii="宋体" w:hAnsi="宋体"/>
                <w:sz w:val="24"/>
              </w:rPr>
              <w:t>）提升欣赏、表达、沟通及实用能力。</w:t>
            </w:r>
          </w:p>
          <w:p>
            <w:pPr>
              <w:spacing w:line="360" w:lineRule="auto"/>
              <w:ind w:firstLine="240" w:firstLineChars="100"/>
              <w:rPr>
                <w:rFonts w:ascii="宋体"/>
                <w:sz w:val="24"/>
              </w:rPr>
            </w:pPr>
            <w:r>
              <w:rPr>
                <w:rFonts w:hint="eastAsia" w:ascii="宋体" w:hAnsi="宋体"/>
                <w:sz w:val="24"/>
              </w:rPr>
              <w:t>（</w:t>
            </w:r>
            <w:r>
              <w:rPr>
                <w:rFonts w:ascii="宋体" w:hAnsi="宋体"/>
                <w:sz w:val="24"/>
              </w:rPr>
              <w:t>3</w:t>
            </w:r>
            <w:r>
              <w:rPr>
                <w:rFonts w:hint="eastAsia" w:ascii="宋体" w:hAnsi="宋体"/>
                <w:sz w:val="24"/>
              </w:rPr>
              <w:t>）培养国际视野及融会贯通能力。</w:t>
            </w:r>
          </w:p>
          <w:p>
            <w:pPr>
              <w:tabs>
                <w:tab w:val="left" w:pos="1356"/>
              </w:tabs>
              <w:spacing w:line="360" w:lineRule="auto"/>
              <w:ind w:firstLine="360" w:firstLineChars="150"/>
              <w:rPr>
                <w:rFonts w:ascii="宋体"/>
                <w:color w:val="000000"/>
                <w:sz w:val="24"/>
              </w:rPr>
            </w:pPr>
            <w:r>
              <w:rPr>
                <w:rFonts w:hint="eastAsia" w:ascii="宋体" w:hAnsi="宋体"/>
                <w:color w:val="000000"/>
                <w:sz w:val="24"/>
              </w:rPr>
              <w:t>文学知识与艺术审美相结合，把人格重塑作为通识教育的核心点。改革宏观评述的教学方式，以鉴赏和文本解读启发学生在对诺贝尔文学作品的审美感悟中体验作家蕴涵的丰富情感和人文思想。并采取“去粗取精”的方式提高教学质量，以中西互通融合的文化心态，在精品鉴赏过程中助学生了解中西经典文学与人文精神的交融发展。</w:t>
            </w:r>
          </w:p>
          <w:p>
            <w:pPr>
              <w:rPr>
                <w:rFonts w:ascii="??_GB2312"/>
              </w:rPr>
            </w:pPr>
          </w:p>
        </w:tc>
        <w:tc>
          <w:tcPr>
            <w:tcW w:w="449" w:type="dxa"/>
            <w:tcBorders>
              <w:top w:val="single" w:color="auto" w:sz="2" w:space="0"/>
              <w:left w:val="single" w:color="auto" w:sz="2" w:space="0"/>
              <w:bottom w:val="single" w:color="auto" w:sz="2" w:space="0"/>
              <w:right w:val="single" w:color="auto" w:sz="2" w:space="0"/>
            </w:tcBorders>
            <w:vAlign w:val="center"/>
          </w:tcPr>
          <w:p>
            <w:pPr>
              <w:rPr>
                <w:rFonts w:ascii="??_GB2312"/>
              </w:rPr>
            </w:pPr>
          </w:p>
        </w:tc>
        <w:tc>
          <w:tcPr>
            <w:tcW w:w="457" w:type="dxa"/>
            <w:tcBorders>
              <w:top w:val="single" w:color="auto" w:sz="2" w:space="0"/>
              <w:left w:val="single" w:color="auto" w:sz="2" w:space="0"/>
              <w:bottom w:val="single" w:color="auto" w:sz="2" w:space="0"/>
              <w:right w:val="single" w:color="auto" w:sz="2" w:space="0"/>
            </w:tcBorders>
            <w:vAlign w:val="center"/>
          </w:tcPr>
          <w:p>
            <w:pPr>
              <w:rPr>
                <w:rFonts w:ascii="??_GB2312"/>
              </w:rPr>
            </w:pPr>
          </w:p>
        </w:tc>
        <w:tc>
          <w:tcPr>
            <w:tcW w:w="485" w:type="dxa"/>
            <w:tcBorders>
              <w:top w:val="single" w:color="auto" w:sz="2" w:space="0"/>
              <w:left w:val="single" w:color="auto" w:sz="2" w:space="0"/>
              <w:bottom w:val="single" w:color="auto" w:sz="2" w:space="0"/>
              <w:right w:val="single" w:color="auto" w:sz="2" w:space="0"/>
            </w:tcBorders>
            <w:vAlign w:val="center"/>
          </w:tcPr>
          <w:p>
            <w:pPr>
              <w:rPr>
                <w:rFonts w:ascii="??_GB2312"/>
              </w:rPr>
            </w:pPr>
          </w:p>
        </w:tc>
        <w:tc>
          <w:tcPr>
            <w:tcW w:w="449" w:type="dxa"/>
            <w:tcBorders>
              <w:top w:val="single" w:color="auto" w:sz="2" w:space="0"/>
              <w:left w:val="single" w:color="auto" w:sz="2" w:space="0"/>
              <w:bottom w:val="single" w:color="auto" w:sz="2" w:space="0"/>
              <w:right w:val="single" w:color="auto" w:sz="2" w:space="0"/>
            </w:tcBorders>
            <w:vAlign w:val="center"/>
          </w:tcPr>
          <w:p>
            <w:pPr>
              <w:rPr>
                <w:rFonts w:ascii="??_GB2312"/>
              </w:rPr>
            </w:pPr>
          </w:p>
        </w:tc>
        <w:tc>
          <w:tcPr>
            <w:tcW w:w="449" w:type="dxa"/>
            <w:tcBorders>
              <w:top w:val="single" w:color="auto" w:sz="2" w:space="0"/>
              <w:left w:val="single" w:color="auto" w:sz="2" w:space="0"/>
              <w:bottom w:val="single" w:color="auto" w:sz="2" w:space="0"/>
              <w:right w:val="single" w:color="auto" w:sz="2" w:space="0"/>
            </w:tcBorders>
            <w:vAlign w:val="center"/>
          </w:tcPr>
          <w:p>
            <w:pPr>
              <w:rPr>
                <w:rFonts w:ascii="??_GB2312"/>
              </w:rPr>
            </w:pPr>
          </w:p>
        </w:tc>
        <w:tc>
          <w:tcPr>
            <w:tcW w:w="566" w:type="dxa"/>
            <w:tcBorders>
              <w:top w:val="single" w:color="auto" w:sz="2" w:space="0"/>
              <w:left w:val="single" w:color="auto" w:sz="2" w:space="0"/>
              <w:bottom w:val="single" w:color="auto" w:sz="2" w:space="0"/>
              <w:right w:val="single" w:color="auto" w:sz="12" w:space="0"/>
            </w:tcBorders>
            <w:vAlign w:val="center"/>
          </w:tcPr>
          <w:p>
            <w:pPr>
              <w:rPr>
                <w:rFonts w:ascii="??_GB2312"/>
              </w:rPr>
            </w:pPr>
          </w:p>
        </w:tc>
      </w:tr>
      <w:tr>
        <w:tblPrEx>
          <w:tblLayout w:type="fixed"/>
          <w:tblCellMar>
            <w:top w:w="0" w:type="dxa"/>
            <w:left w:w="108" w:type="dxa"/>
            <w:bottom w:w="0" w:type="dxa"/>
            <w:right w:w="108" w:type="dxa"/>
          </w:tblCellMar>
        </w:tblPrEx>
        <w:trPr>
          <w:jc w:val="center"/>
        </w:trPr>
        <w:tc>
          <w:tcPr>
            <w:tcW w:w="737" w:type="dxa"/>
            <w:vMerge w:val="continue"/>
            <w:tcBorders>
              <w:top w:val="single" w:color="auto" w:sz="2" w:space="0"/>
              <w:left w:val="single" w:color="auto" w:sz="12" w:space="0"/>
              <w:bottom w:val="single" w:color="auto" w:sz="2" w:space="0"/>
              <w:right w:val="single" w:color="auto" w:sz="2" w:space="0"/>
            </w:tcBorders>
            <w:vAlign w:val="center"/>
          </w:tcPr>
          <w:p>
            <w:pPr>
              <w:widowControl/>
              <w:jc w:val="left"/>
              <w:rPr>
                <w:rFonts w:ascii="??_GB2312"/>
              </w:rPr>
            </w:pPr>
          </w:p>
        </w:tc>
        <w:tc>
          <w:tcPr>
            <w:tcW w:w="1114" w:type="dxa"/>
            <w:vMerge w:val="continue"/>
            <w:tcBorders>
              <w:top w:val="single" w:color="auto" w:sz="2" w:space="0"/>
              <w:left w:val="single" w:color="auto" w:sz="2" w:space="0"/>
              <w:bottom w:val="single" w:color="auto" w:sz="2" w:space="0"/>
              <w:right w:val="single" w:color="auto" w:sz="2" w:space="0"/>
            </w:tcBorders>
            <w:vAlign w:val="center"/>
          </w:tcPr>
          <w:p>
            <w:pPr>
              <w:widowControl/>
              <w:jc w:val="left"/>
              <w:rPr>
                <w:rFonts w:ascii="??_GB2312"/>
              </w:rPr>
            </w:pPr>
          </w:p>
        </w:tc>
        <w:tc>
          <w:tcPr>
            <w:tcW w:w="947" w:type="dxa"/>
            <w:tcBorders>
              <w:top w:val="single" w:color="auto" w:sz="2" w:space="0"/>
              <w:left w:val="single" w:color="auto" w:sz="2" w:space="0"/>
              <w:bottom w:val="single" w:color="auto" w:sz="12" w:space="0"/>
              <w:right w:val="single" w:color="auto" w:sz="2" w:space="0"/>
            </w:tcBorders>
            <w:vAlign w:val="center"/>
          </w:tcPr>
          <w:p>
            <w:pPr>
              <w:spacing w:line="240" w:lineRule="atLeast"/>
              <w:jc w:val="center"/>
              <w:rPr>
                <w:rFonts w:ascii="??_GB2312"/>
              </w:rPr>
            </w:pPr>
            <w:r>
              <w:rPr>
                <w:rFonts w:hint="eastAsia" w:ascii="??_GB2312"/>
              </w:rPr>
              <w:t>重点</w:t>
            </w:r>
          </w:p>
          <w:p>
            <w:pPr>
              <w:spacing w:line="240" w:lineRule="atLeast"/>
              <w:jc w:val="center"/>
              <w:rPr>
                <w:rFonts w:ascii="??_GB2312"/>
              </w:rPr>
            </w:pPr>
            <w:r>
              <w:rPr>
                <w:rFonts w:hint="eastAsia" w:ascii="??_GB2312"/>
              </w:rPr>
              <w:t>难点</w:t>
            </w:r>
          </w:p>
        </w:tc>
        <w:tc>
          <w:tcPr>
            <w:tcW w:w="3068" w:type="dxa"/>
            <w:tcBorders>
              <w:top w:val="single" w:color="auto" w:sz="2" w:space="0"/>
              <w:left w:val="single" w:color="auto" w:sz="2" w:space="0"/>
              <w:bottom w:val="single" w:color="auto" w:sz="12" w:space="0"/>
              <w:right w:val="single" w:color="auto" w:sz="2" w:space="0"/>
            </w:tcBorders>
            <w:vAlign w:val="center"/>
          </w:tcPr>
          <w:p>
            <w:pPr>
              <w:rPr>
                <w:color w:val="000000"/>
              </w:rPr>
            </w:pPr>
            <w:r>
              <w:rPr>
                <w:rFonts w:hint="eastAsia"/>
                <w:b/>
              </w:rPr>
              <w:t>重点：</w:t>
            </w:r>
            <w:r>
              <w:rPr>
                <w:rFonts w:hint="eastAsia"/>
              </w:rPr>
              <w:t>多元文化语境中的文本分析，力求借鉴当下问题意识的关照，对百年来文本演变进行重新阐释；且研究的重点倾向</w:t>
            </w:r>
            <w:r>
              <w:rPr>
                <w:rFonts w:hint="eastAsia"/>
                <w:color w:val="000000"/>
              </w:rPr>
              <w:t>探讨文学与时代、文学与政治、文学与国族之间的关系，文学传播的意义及文学精神追求。</w:t>
            </w:r>
          </w:p>
          <w:p>
            <w:pPr>
              <w:rPr>
                <w:rFonts w:ascii="??_GB2312"/>
              </w:rPr>
            </w:pPr>
          </w:p>
        </w:tc>
        <w:tc>
          <w:tcPr>
            <w:tcW w:w="449" w:type="dxa"/>
            <w:tcBorders>
              <w:top w:val="single" w:color="auto" w:sz="2" w:space="0"/>
              <w:left w:val="single" w:color="auto" w:sz="2" w:space="0"/>
              <w:bottom w:val="single" w:color="auto" w:sz="12" w:space="0"/>
              <w:right w:val="single" w:color="auto" w:sz="2" w:space="0"/>
            </w:tcBorders>
            <w:vAlign w:val="center"/>
          </w:tcPr>
          <w:p>
            <w:pPr>
              <w:rPr>
                <w:rFonts w:ascii="??_GB2312"/>
              </w:rPr>
            </w:pPr>
          </w:p>
        </w:tc>
        <w:tc>
          <w:tcPr>
            <w:tcW w:w="457" w:type="dxa"/>
            <w:tcBorders>
              <w:top w:val="single" w:color="auto" w:sz="2" w:space="0"/>
              <w:left w:val="single" w:color="auto" w:sz="2" w:space="0"/>
              <w:bottom w:val="single" w:color="auto" w:sz="12" w:space="0"/>
              <w:right w:val="single" w:color="auto" w:sz="2" w:space="0"/>
            </w:tcBorders>
            <w:vAlign w:val="center"/>
          </w:tcPr>
          <w:p>
            <w:pPr>
              <w:rPr>
                <w:rFonts w:ascii="??_GB2312"/>
              </w:rPr>
            </w:pPr>
          </w:p>
        </w:tc>
        <w:tc>
          <w:tcPr>
            <w:tcW w:w="485" w:type="dxa"/>
            <w:tcBorders>
              <w:top w:val="single" w:color="auto" w:sz="2" w:space="0"/>
              <w:left w:val="single" w:color="auto" w:sz="2" w:space="0"/>
              <w:bottom w:val="single" w:color="auto" w:sz="12" w:space="0"/>
              <w:right w:val="single" w:color="auto" w:sz="2" w:space="0"/>
            </w:tcBorders>
            <w:vAlign w:val="center"/>
          </w:tcPr>
          <w:p>
            <w:pPr>
              <w:rPr>
                <w:rFonts w:ascii="??_GB2312"/>
              </w:rPr>
            </w:pPr>
          </w:p>
        </w:tc>
        <w:tc>
          <w:tcPr>
            <w:tcW w:w="449" w:type="dxa"/>
            <w:tcBorders>
              <w:top w:val="single" w:color="auto" w:sz="2" w:space="0"/>
              <w:left w:val="single" w:color="auto" w:sz="2" w:space="0"/>
              <w:bottom w:val="single" w:color="auto" w:sz="12" w:space="0"/>
              <w:right w:val="single" w:color="auto" w:sz="2" w:space="0"/>
            </w:tcBorders>
            <w:vAlign w:val="center"/>
          </w:tcPr>
          <w:p>
            <w:pPr>
              <w:rPr>
                <w:rFonts w:ascii="??_GB2312"/>
              </w:rPr>
            </w:pPr>
          </w:p>
        </w:tc>
        <w:tc>
          <w:tcPr>
            <w:tcW w:w="449" w:type="dxa"/>
            <w:tcBorders>
              <w:top w:val="single" w:color="auto" w:sz="2" w:space="0"/>
              <w:left w:val="single" w:color="auto" w:sz="2" w:space="0"/>
              <w:bottom w:val="single" w:color="auto" w:sz="12" w:space="0"/>
              <w:right w:val="single" w:color="auto" w:sz="2" w:space="0"/>
            </w:tcBorders>
            <w:vAlign w:val="center"/>
          </w:tcPr>
          <w:p>
            <w:pPr>
              <w:rPr>
                <w:rFonts w:ascii="??_GB2312"/>
              </w:rPr>
            </w:pPr>
          </w:p>
        </w:tc>
        <w:tc>
          <w:tcPr>
            <w:tcW w:w="566" w:type="dxa"/>
            <w:tcBorders>
              <w:top w:val="single" w:color="auto" w:sz="2" w:space="0"/>
              <w:left w:val="single" w:color="auto" w:sz="2" w:space="0"/>
              <w:bottom w:val="single" w:color="auto" w:sz="12" w:space="0"/>
              <w:right w:val="single" w:color="auto" w:sz="12" w:space="0"/>
            </w:tcBorders>
            <w:vAlign w:val="center"/>
          </w:tcPr>
          <w:p>
            <w:pPr>
              <w:rPr>
                <w:rFonts w:ascii="??_GB2312"/>
              </w:rPr>
            </w:pPr>
          </w:p>
        </w:tc>
      </w:tr>
    </w:tbl>
    <w:p>
      <w:pPr>
        <w:widowControl/>
        <w:spacing w:line="360" w:lineRule="auto"/>
        <w:ind w:firstLine="420" w:firstLineChars="200"/>
        <w:rPr>
          <w:rFonts w:ascii="??" w:hAnsi="??"/>
          <w:color w:val="000000"/>
          <w:kern w:val="0"/>
        </w:rPr>
      </w:pPr>
      <w:r>
        <w:rPr>
          <w:rFonts w:ascii="??" w:hAnsi="??"/>
          <w:color w:val="000000"/>
          <w:kern w:val="0"/>
        </w:rPr>
        <w:t xml:space="preserve"> </w:t>
      </w:r>
    </w:p>
    <w:p>
      <w:pPr>
        <w:spacing w:line="600" w:lineRule="exact"/>
        <w:rPr>
          <w:rFonts w:ascii="??" w:hAnsi="??"/>
          <w:b/>
          <w:bCs/>
          <w:color w:val="FF0000"/>
          <w:kern w:val="0"/>
          <w:sz w:val="22"/>
          <w:szCs w:val="22"/>
        </w:rPr>
      </w:pPr>
      <w:r>
        <w:rPr>
          <w:rFonts w:hint="eastAsia" w:ascii="黑体" w:hAnsi="黑体" w:eastAsia="黑体"/>
          <w:sz w:val="28"/>
          <w:szCs w:val="28"/>
        </w:rPr>
        <w:t>三、教材、参考书与其它学习资源</w:t>
      </w:r>
    </w:p>
    <w:p>
      <w:pPr>
        <w:spacing w:line="600" w:lineRule="exact"/>
        <w:rPr>
          <w:rFonts w:ascii="黑体" w:hAnsi="黑体" w:eastAsia="黑体"/>
          <w:sz w:val="24"/>
          <w:szCs w:val="24"/>
        </w:rPr>
      </w:pPr>
      <w:r>
        <w:rPr>
          <w:rFonts w:hint="eastAsia" w:ascii="黑体" w:hAnsi="黑体" w:eastAsia="黑体"/>
          <w:sz w:val="24"/>
          <w:szCs w:val="24"/>
        </w:rPr>
        <w:t>（一）教材：</w:t>
      </w:r>
      <w:r>
        <w:rPr>
          <w:rFonts w:hint="eastAsia" w:ascii="宋体" w:hAnsi="宋体"/>
          <w:color w:val="000000"/>
          <w:sz w:val="24"/>
          <w:szCs w:val="18"/>
        </w:rPr>
        <w:t>《诺贝尔文学获奖作家作品解读》</w:t>
      </w:r>
    </w:p>
    <w:p>
      <w:pPr>
        <w:widowControl/>
        <w:tabs>
          <w:tab w:val="center" w:pos="4153"/>
          <w:tab w:val="right" w:pos="8306"/>
        </w:tabs>
        <w:snapToGrid w:val="0"/>
        <w:spacing w:line="360" w:lineRule="auto"/>
        <w:ind w:firstLine="480" w:firstLineChars="200"/>
        <w:jc w:val="left"/>
        <w:rPr>
          <w:rFonts w:ascii="宋体"/>
          <w:color w:val="000000"/>
          <w:sz w:val="24"/>
          <w:szCs w:val="18"/>
        </w:rPr>
      </w:pPr>
      <w:r>
        <w:rPr>
          <w:rFonts w:hint="eastAsia" w:ascii="黑体" w:hAnsi="黑体" w:eastAsia="黑体"/>
          <w:sz w:val="24"/>
          <w:szCs w:val="24"/>
        </w:rPr>
        <w:t>（二）参考书：</w:t>
      </w:r>
      <w:r>
        <w:rPr>
          <w:rFonts w:hint="eastAsia" w:ascii="宋体" w:hAnsi="宋体"/>
          <w:color w:val="000000"/>
          <w:sz w:val="24"/>
          <w:szCs w:val="18"/>
        </w:rPr>
        <w:t>《诺贝尔文学奖全集》、《近年诺贝尔文学奖作品集》</w:t>
      </w:r>
    </w:p>
    <w:p>
      <w:pPr>
        <w:spacing w:line="600" w:lineRule="exact"/>
        <w:rPr>
          <w:rFonts w:ascii="黑体" w:hAnsi="黑体" w:eastAsia="黑体"/>
          <w:sz w:val="24"/>
          <w:szCs w:val="24"/>
        </w:rPr>
      </w:pPr>
      <w:r>
        <w:rPr>
          <w:rFonts w:hint="eastAsia" w:ascii="宋体" w:hAnsi="宋体"/>
          <w:color w:val="000000"/>
          <w:sz w:val="24"/>
          <w:szCs w:val="18"/>
        </w:rPr>
        <w:t>《莫言文集》；以及主持人张慧敏的研究专著：《想象与叙事》、《符号与话语</w:t>
      </w:r>
    </w:p>
    <w:p>
      <w:pPr>
        <w:spacing w:line="600" w:lineRule="exact"/>
        <w:rPr>
          <w:rFonts w:ascii="黑体" w:hAnsi="黑体" w:eastAsia="黑体"/>
          <w:sz w:val="24"/>
          <w:szCs w:val="24"/>
        </w:rPr>
      </w:pPr>
      <w:r>
        <w:rPr>
          <w:rFonts w:hint="eastAsia" w:ascii="黑体" w:hAnsi="黑体" w:eastAsia="黑体"/>
          <w:sz w:val="24"/>
          <w:szCs w:val="24"/>
        </w:rPr>
        <w:t>（三）其它学习资源</w:t>
      </w:r>
    </w:p>
    <w:tbl>
      <w:tblPr>
        <w:tblStyle w:val="3"/>
        <w:tblW w:w="8763" w:type="dxa"/>
        <w:jc w:val="center"/>
        <w:tblInd w:w="0" w:type="dxa"/>
        <w:tblLayout w:type="fixed"/>
        <w:tblCellMar>
          <w:top w:w="0" w:type="dxa"/>
          <w:left w:w="108" w:type="dxa"/>
          <w:bottom w:w="0" w:type="dxa"/>
          <w:right w:w="108" w:type="dxa"/>
        </w:tblCellMar>
      </w:tblPr>
      <w:tblGrid>
        <w:gridCol w:w="3001"/>
        <w:gridCol w:w="3095"/>
        <w:gridCol w:w="2667"/>
      </w:tblGrid>
      <w:tr>
        <w:tblPrEx>
          <w:tblLayout w:type="fixed"/>
          <w:tblCellMar>
            <w:top w:w="0" w:type="dxa"/>
            <w:left w:w="108" w:type="dxa"/>
            <w:bottom w:w="0" w:type="dxa"/>
            <w:right w:w="108" w:type="dxa"/>
          </w:tblCellMar>
        </w:tblPrEx>
        <w:trPr>
          <w:trHeight w:val="517" w:hRule="atLeast"/>
          <w:jc w:val="center"/>
        </w:trPr>
        <w:tc>
          <w:tcPr>
            <w:tcW w:w="3001" w:type="dxa"/>
            <w:tcBorders>
              <w:top w:val="single" w:color="auto" w:sz="12" w:space="0"/>
              <w:left w:val="single" w:color="auto" w:sz="12" w:space="0"/>
              <w:bottom w:val="single" w:color="auto" w:sz="4" w:space="0"/>
              <w:right w:val="single" w:color="auto" w:sz="4" w:space="0"/>
            </w:tcBorders>
            <w:vAlign w:val="center"/>
          </w:tcPr>
          <w:p>
            <w:pPr>
              <w:jc w:val="center"/>
              <w:rPr>
                <w:rFonts w:ascii="??_GB2312" w:hAnsi="宋体"/>
                <w:sz w:val="24"/>
                <w:szCs w:val="24"/>
              </w:rPr>
            </w:pPr>
            <w:r>
              <w:rPr>
                <w:rFonts w:hint="eastAsia" w:ascii="??_GB2312" w:hAnsi="宋体"/>
                <w:sz w:val="24"/>
                <w:szCs w:val="24"/>
              </w:rPr>
              <w:t>大纲执笔</w:t>
            </w:r>
          </w:p>
        </w:tc>
        <w:tc>
          <w:tcPr>
            <w:tcW w:w="3095" w:type="dxa"/>
            <w:tcBorders>
              <w:top w:val="single" w:color="auto" w:sz="12" w:space="0"/>
              <w:left w:val="single" w:color="auto" w:sz="4" w:space="0"/>
              <w:bottom w:val="single" w:color="auto" w:sz="4" w:space="0"/>
              <w:right w:val="single" w:color="auto" w:sz="4" w:space="0"/>
            </w:tcBorders>
            <w:vAlign w:val="center"/>
          </w:tcPr>
          <w:p>
            <w:pPr>
              <w:jc w:val="center"/>
              <w:rPr>
                <w:rFonts w:ascii="??_GB2312" w:hAnsi="宋体"/>
                <w:sz w:val="24"/>
                <w:szCs w:val="24"/>
              </w:rPr>
            </w:pPr>
            <w:r>
              <w:rPr>
                <w:rFonts w:hint="eastAsia" w:ascii="??_GB2312" w:hAnsi="宋体"/>
                <w:color w:val="000000"/>
                <w:sz w:val="24"/>
                <w:szCs w:val="24"/>
              </w:rPr>
              <w:t>大纲审核</w:t>
            </w:r>
          </w:p>
        </w:tc>
        <w:tc>
          <w:tcPr>
            <w:tcW w:w="2667" w:type="dxa"/>
            <w:tcBorders>
              <w:top w:val="single" w:color="auto" w:sz="12" w:space="0"/>
              <w:left w:val="single" w:color="auto" w:sz="4" w:space="0"/>
              <w:bottom w:val="single" w:color="auto" w:sz="4" w:space="0"/>
              <w:right w:val="single" w:color="auto" w:sz="12" w:space="0"/>
            </w:tcBorders>
            <w:vAlign w:val="center"/>
          </w:tcPr>
          <w:p>
            <w:pPr>
              <w:jc w:val="center"/>
              <w:rPr>
                <w:rFonts w:ascii="??_GB2312" w:hAnsi="宋体"/>
                <w:sz w:val="24"/>
                <w:szCs w:val="24"/>
              </w:rPr>
            </w:pPr>
            <w:r>
              <w:rPr>
                <w:rFonts w:hint="eastAsia" w:ascii="??_GB2312" w:hAnsi="宋体"/>
                <w:color w:val="000000"/>
                <w:sz w:val="24"/>
                <w:szCs w:val="24"/>
              </w:rPr>
              <w:t>大纲审定</w:t>
            </w:r>
          </w:p>
        </w:tc>
      </w:tr>
      <w:tr>
        <w:tblPrEx>
          <w:tblLayout w:type="fixed"/>
          <w:tblCellMar>
            <w:top w:w="0" w:type="dxa"/>
            <w:left w:w="108" w:type="dxa"/>
            <w:bottom w:w="0" w:type="dxa"/>
            <w:right w:w="108" w:type="dxa"/>
          </w:tblCellMar>
        </w:tblPrEx>
        <w:trPr>
          <w:trHeight w:val="553" w:hRule="atLeast"/>
          <w:jc w:val="center"/>
        </w:trPr>
        <w:tc>
          <w:tcPr>
            <w:tcW w:w="3001" w:type="dxa"/>
            <w:tcBorders>
              <w:top w:val="single" w:color="auto" w:sz="4" w:space="0"/>
              <w:left w:val="single" w:color="auto" w:sz="12" w:space="0"/>
              <w:bottom w:val="single" w:color="auto" w:sz="4" w:space="0"/>
              <w:right w:val="single" w:color="auto" w:sz="4" w:space="0"/>
            </w:tcBorders>
            <w:vAlign w:val="center"/>
          </w:tcPr>
          <w:p>
            <w:pPr>
              <w:jc w:val="center"/>
              <w:rPr>
                <w:rFonts w:ascii="??_GB2312"/>
              </w:rPr>
            </w:pPr>
            <w:r>
              <w:rPr>
                <w:rFonts w:hint="eastAsia" w:ascii="??_GB2312"/>
              </w:rPr>
              <w:t>张慧敏</w:t>
            </w:r>
          </w:p>
        </w:tc>
        <w:tc>
          <w:tcPr>
            <w:tcW w:w="3095" w:type="dxa"/>
            <w:tcBorders>
              <w:top w:val="single" w:color="auto" w:sz="4" w:space="0"/>
              <w:left w:val="single" w:color="auto" w:sz="4" w:space="0"/>
              <w:bottom w:val="single" w:color="auto" w:sz="4" w:space="0"/>
              <w:right w:val="single" w:color="auto" w:sz="4" w:space="0"/>
            </w:tcBorders>
            <w:vAlign w:val="center"/>
          </w:tcPr>
          <w:p>
            <w:pPr>
              <w:jc w:val="center"/>
              <w:rPr>
                <w:rFonts w:ascii="??_GB2312"/>
              </w:rPr>
            </w:pPr>
            <w:r>
              <w:rPr>
                <w:rFonts w:hint="eastAsia" w:ascii="??_GB2312"/>
              </w:rPr>
              <w:t>教务处</w:t>
            </w:r>
          </w:p>
        </w:tc>
        <w:tc>
          <w:tcPr>
            <w:tcW w:w="2667" w:type="dxa"/>
            <w:tcBorders>
              <w:top w:val="single" w:color="auto" w:sz="4" w:space="0"/>
              <w:left w:val="single" w:color="auto" w:sz="4" w:space="0"/>
              <w:bottom w:val="single" w:color="auto" w:sz="4" w:space="0"/>
              <w:right w:val="single" w:color="auto" w:sz="12" w:space="0"/>
            </w:tcBorders>
            <w:vAlign w:val="center"/>
          </w:tcPr>
          <w:p>
            <w:pPr>
              <w:jc w:val="center"/>
              <w:rPr>
                <w:rFonts w:ascii="??_GB2312"/>
              </w:rPr>
            </w:pPr>
            <w:r>
              <w:rPr>
                <w:rFonts w:hint="eastAsia" w:ascii="??_GB2312"/>
              </w:rPr>
              <w:t>教务处</w:t>
            </w:r>
          </w:p>
        </w:tc>
      </w:tr>
      <w:tr>
        <w:tblPrEx>
          <w:tblLayout w:type="fixed"/>
          <w:tblCellMar>
            <w:top w:w="0" w:type="dxa"/>
            <w:left w:w="108" w:type="dxa"/>
            <w:bottom w:w="0" w:type="dxa"/>
            <w:right w:w="108" w:type="dxa"/>
          </w:tblCellMar>
        </w:tblPrEx>
        <w:trPr>
          <w:trHeight w:val="553" w:hRule="atLeast"/>
          <w:jc w:val="center"/>
        </w:trPr>
        <w:tc>
          <w:tcPr>
            <w:tcW w:w="3001" w:type="dxa"/>
            <w:tcBorders>
              <w:top w:val="single" w:color="auto" w:sz="4" w:space="0"/>
              <w:left w:val="single" w:color="auto" w:sz="12" w:space="0"/>
              <w:bottom w:val="single" w:color="auto" w:sz="12" w:space="0"/>
              <w:right w:val="single" w:color="auto" w:sz="4" w:space="0"/>
            </w:tcBorders>
            <w:vAlign w:val="center"/>
          </w:tcPr>
          <w:p>
            <w:pPr>
              <w:jc w:val="center"/>
              <w:rPr>
                <w:rFonts w:ascii="??_GB2312"/>
              </w:rPr>
            </w:pPr>
            <w:r>
              <w:rPr>
                <w:rFonts w:hint="eastAsia" w:ascii="??_GB2312" w:hAnsi="宋体"/>
                <w:sz w:val="24"/>
                <w:szCs w:val="24"/>
              </w:rPr>
              <w:t>制定时间</w:t>
            </w:r>
          </w:p>
        </w:tc>
        <w:tc>
          <w:tcPr>
            <w:tcW w:w="5762" w:type="dxa"/>
            <w:gridSpan w:val="2"/>
            <w:tcBorders>
              <w:top w:val="single" w:color="auto" w:sz="4" w:space="0"/>
              <w:left w:val="single" w:color="auto" w:sz="4" w:space="0"/>
              <w:bottom w:val="single" w:color="auto" w:sz="12" w:space="0"/>
              <w:right w:val="single" w:color="auto" w:sz="12" w:space="0"/>
            </w:tcBorders>
            <w:vAlign w:val="center"/>
          </w:tcPr>
          <w:p>
            <w:pPr>
              <w:jc w:val="center"/>
              <w:rPr>
                <w:rFonts w:ascii="??_GB2312"/>
              </w:rPr>
            </w:pPr>
            <w:r>
              <w:rPr>
                <w:rFonts w:ascii="??_GB2312"/>
              </w:rPr>
              <w:t>2012</w:t>
            </w:r>
            <w:r>
              <w:rPr>
                <w:rFonts w:hint="eastAsia" w:ascii="??_GB2312"/>
              </w:rPr>
              <w:t>年</w:t>
            </w:r>
            <w:r>
              <w:rPr>
                <w:rFonts w:ascii="??_GB2312"/>
              </w:rPr>
              <w:t>6</w:t>
            </w:r>
            <w:r>
              <w:rPr>
                <w:rFonts w:hint="eastAsia" w:ascii="??_GB2312"/>
              </w:rPr>
              <w:t>月</w:t>
            </w:r>
            <w:r>
              <w:rPr>
                <w:rFonts w:ascii="??_GB2312"/>
              </w:rPr>
              <w:t>6</w:t>
            </w:r>
            <w:r>
              <w:rPr>
                <w:rFonts w:hint="eastAsia" w:ascii="??_GB2312"/>
              </w:rPr>
              <w:t>日</w:t>
            </w:r>
          </w:p>
        </w:tc>
      </w:tr>
    </w:tbl>
    <w:p>
      <w:r>
        <w:t xml:space="preserve"> </w:t>
      </w:r>
    </w:p>
    <w:p>
      <w:pPr>
        <w:rPr>
          <w:rFonts w:ascii="??_GB2312"/>
          <w:color w:val="000000"/>
        </w:rPr>
      </w:pPr>
    </w:p>
    <w:p>
      <w:r>
        <w:rPr>
          <w:rFonts w:ascii="仿宋" w:hAnsi="仿宋" w:eastAsia="仿宋"/>
          <w:color w:val="000000"/>
          <w:sz w:val="24"/>
          <w:szCs w:val="24"/>
        </w:rPr>
        <w:br w:type="page"/>
      </w:r>
    </w:p>
    <w:p>
      <w:r>
        <w:rPr>
          <w:rFonts w:hint="eastAsia"/>
        </w:rPr>
        <w:t>附录：</w:t>
      </w:r>
    </w:p>
    <w:tbl>
      <w:tblPr>
        <w:tblStyle w:val="3"/>
        <w:tblW w:w="9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9945" w:type="dxa"/>
          </w:tcPr>
          <w:p>
            <w:pPr>
              <w:widowControl/>
              <w:tabs>
                <w:tab w:val="center" w:pos="4153"/>
                <w:tab w:val="right" w:pos="8306"/>
              </w:tabs>
              <w:snapToGrid w:val="0"/>
              <w:ind w:firstLine="1446" w:firstLineChars="600"/>
              <w:jc w:val="left"/>
              <w:rPr>
                <w:b/>
                <w:sz w:val="24"/>
                <w:szCs w:val="24"/>
              </w:rPr>
            </w:pPr>
            <w:r>
              <w:rPr>
                <w:rFonts w:hint="eastAsia"/>
                <w:b/>
                <w:sz w:val="24"/>
                <w:szCs w:val="24"/>
              </w:rPr>
              <w:t>课程章节及教学目标举例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2" w:hRule="atLeast"/>
        </w:trPr>
        <w:tc>
          <w:tcPr>
            <w:tcW w:w="9945" w:type="dxa"/>
          </w:tcPr>
          <w:p>
            <w:pPr>
              <w:tabs>
                <w:tab w:val="center" w:pos="4153"/>
                <w:tab w:val="left" w:pos="8100"/>
                <w:tab w:val="right" w:pos="8306"/>
              </w:tabs>
              <w:snapToGrid w:val="0"/>
              <w:ind w:firstLine="813" w:firstLineChars="450"/>
              <w:rPr>
                <w:rFonts w:ascii="宋体"/>
                <w:b/>
                <w:sz w:val="18"/>
                <w:u w:val="single"/>
              </w:rPr>
            </w:pPr>
          </w:p>
          <w:tbl>
            <w:tblPr>
              <w:tblStyle w:val="3"/>
              <w:tblW w:w="9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2992"/>
              <w:gridCol w:w="714"/>
              <w:gridCol w:w="5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016" w:type="dxa"/>
                  <w:tcBorders>
                    <w:top w:val="single" w:color="auto" w:sz="4" w:space="0"/>
                    <w:left w:val="single" w:color="auto" w:sz="4" w:space="0"/>
                    <w:bottom w:val="single" w:color="auto" w:sz="4" w:space="0"/>
                    <w:right w:val="single" w:color="auto" w:sz="4" w:space="0"/>
                  </w:tcBorders>
                </w:tcPr>
                <w:p>
                  <w:pPr>
                    <w:widowControl/>
                    <w:jc w:val="center"/>
                    <w:rPr>
                      <w:rFonts w:ascii="宋体"/>
                      <w:b/>
                      <w:u w:val="single"/>
                    </w:rPr>
                  </w:pPr>
                  <w:r>
                    <w:rPr>
                      <w:rFonts w:hint="eastAsia" w:ascii="宋体" w:hAnsi="宋体"/>
                      <w:b/>
                    </w:rPr>
                    <w:t>周次</w:t>
                  </w:r>
                </w:p>
              </w:tc>
              <w:tc>
                <w:tcPr>
                  <w:tcW w:w="2992" w:type="dxa"/>
                  <w:tcBorders>
                    <w:top w:val="single" w:color="auto" w:sz="4" w:space="0"/>
                    <w:left w:val="single" w:color="auto" w:sz="4" w:space="0"/>
                    <w:bottom w:val="single" w:color="auto" w:sz="4" w:space="0"/>
                    <w:right w:val="single" w:color="auto" w:sz="4" w:space="0"/>
                  </w:tcBorders>
                </w:tcPr>
                <w:p>
                  <w:pPr>
                    <w:widowControl/>
                    <w:jc w:val="center"/>
                    <w:rPr>
                      <w:rFonts w:ascii="宋体"/>
                      <w:b/>
                    </w:rPr>
                  </w:pPr>
                </w:p>
                <w:p>
                  <w:pPr>
                    <w:widowControl/>
                    <w:jc w:val="center"/>
                    <w:rPr>
                      <w:rFonts w:ascii="宋体"/>
                      <w:b/>
                    </w:rPr>
                  </w:pPr>
                  <w:r>
                    <w:rPr>
                      <w:rFonts w:hint="eastAsia" w:ascii="宋体" w:hAnsi="宋体"/>
                      <w:b/>
                    </w:rPr>
                    <w:t>讲课内容（章节名称）</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b/>
                    </w:rPr>
                  </w:pPr>
                  <w:r>
                    <w:rPr>
                      <w:rFonts w:ascii="宋体" w:hAnsi="宋体"/>
                      <w:b/>
                    </w:rPr>
                    <w:t xml:space="preserve"> </w:t>
                  </w:r>
                  <w:r>
                    <w:rPr>
                      <w:rFonts w:hint="eastAsia" w:ascii="宋体" w:hAnsi="宋体"/>
                      <w:b/>
                    </w:rPr>
                    <w:t>课</w:t>
                  </w:r>
                </w:p>
                <w:p>
                  <w:pPr>
                    <w:tabs>
                      <w:tab w:val="left" w:pos="8100"/>
                    </w:tabs>
                    <w:ind w:firstLine="105" w:firstLineChars="50"/>
                    <w:jc w:val="center"/>
                    <w:rPr>
                      <w:rFonts w:ascii="宋体"/>
                      <w:b/>
                      <w:u w:val="single"/>
                    </w:rPr>
                  </w:pPr>
                  <w:r>
                    <w:rPr>
                      <w:rFonts w:hint="eastAsia" w:ascii="宋体" w:hAnsi="宋体"/>
                      <w:b/>
                    </w:rPr>
                    <w:t>时</w:t>
                  </w:r>
                </w:p>
              </w:tc>
              <w:tc>
                <w:tcPr>
                  <w:tcW w:w="5257" w:type="dxa"/>
                  <w:tcBorders>
                    <w:top w:val="single" w:color="auto" w:sz="4" w:space="0"/>
                    <w:left w:val="single" w:color="auto" w:sz="4" w:space="0"/>
                    <w:bottom w:val="single" w:color="auto" w:sz="4" w:space="0"/>
                    <w:right w:val="single" w:color="auto" w:sz="4" w:space="0"/>
                  </w:tcBorders>
                </w:tcPr>
                <w:p>
                  <w:pPr>
                    <w:widowControl/>
                    <w:ind w:firstLine="316" w:firstLineChars="150"/>
                    <w:jc w:val="left"/>
                    <w:rPr>
                      <w:rFonts w:ascii="宋体"/>
                      <w:u w:val="single"/>
                    </w:rPr>
                  </w:pPr>
                  <w:r>
                    <w:rPr>
                      <w:rFonts w:hint="eastAsia" w:ascii="宋体" w:hAnsi="宋体"/>
                      <w:b/>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1</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color w:val="000000"/>
                    </w:rPr>
                  </w:pPr>
                  <w:r>
                    <w:rPr>
                      <w:rFonts w:ascii="宋体" w:hAnsi="宋体"/>
                      <w:color w:val="000000"/>
                    </w:rPr>
                    <w:t xml:space="preserve"> </w:t>
                  </w:r>
                  <w:r>
                    <w:rPr>
                      <w:rFonts w:hint="eastAsia" w:ascii="宋体" w:hAnsi="宋体"/>
                      <w:color w:val="000000"/>
                    </w:rPr>
                    <w:t>诺贝尔奖概述及第一位获奖诗人【法】</w:t>
                  </w:r>
                  <w:r>
                    <w:rPr>
                      <w:rFonts w:hint="eastAsia" w:ascii="宋体" w:hAnsi="宋体"/>
                      <w:color w:val="000000"/>
                      <w:kern w:val="0"/>
                    </w:rPr>
                    <w:t>普吕多姆</w:t>
                  </w:r>
                  <w:r>
                    <w:rPr>
                      <w:rFonts w:hint="eastAsia" w:ascii="宋体" w:hAnsi="宋体"/>
                      <w:color w:val="000000"/>
                    </w:rPr>
                    <w:t>（</w:t>
                  </w:r>
                  <w:r>
                    <w:rPr>
                      <w:rFonts w:ascii="宋体" w:hAnsi="宋体"/>
                      <w:color w:val="000000"/>
                    </w:rPr>
                    <w:t>1901</w:t>
                  </w:r>
                  <w:r>
                    <w:rPr>
                      <w:rFonts w:hint="eastAsia" w:ascii="宋体" w:hAnsi="宋体"/>
                      <w:color w:val="000000"/>
                    </w:rPr>
                    <w:t>）《孤独与沉思》及【英】</w:t>
                  </w:r>
                  <w:r>
                    <w:rPr>
                      <w:rFonts w:hint="eastAsia"/>
                    </w:rPr>
                    <w:t>托马斯</w:t>
                  </w:r>
                  <w:r>
                    <w:t>·</w:t>
                  </w:r>
                  <w:r>
                    <w:rPr>
                      <w:rFonts w:hint="eastAsia"/>
                    </w:rPr>
                    <w:t>斯特恩斯</w:t>
                  </w:r>
                  <w:r>
                    <w:t>·</w:t>
                  </w:r>
                  <w:r>
                    <w:rPr>
                      <w:rFonts w:hint="eastAsia"/>
                    </w:rPr>
                    <w:t>艾略特（</w:t>
                  </w:r>
                  <w:r>
                    <w:t>1948</w:t>
                  </w:r>
                  <w:r>
                    <w:rPr>
                      <w:rFonts w:hint="eastAsia"/>
                    </w:rPr>
                    <w:t>）《四个四重奏》</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numPr>
                      <w:ilvl w:val="0"/>
                      <w:numId w:val="2"/>
                    </w:numPr>
                    <w:tabs>
                      <w:tab w:val="left" w:pos="8100"/>
                    </w:tabs>
                    <w:rPr>
                      <w:rFonts w:ascii="隶书" w:eastAsia="隶书"/>
                    </w:rPr>
                  </w:pPr>
                  <w:r>
                    <w:rPr>
                      <w:rFonts w:hint="eastAsia" w:ascii="隶书" w:eastAsia="隶书"/>
                    </w:rPr>
                    <w:t>根据教学大纲明确学习目标及介绍教材。</w:t>
                  </w:r>
                </w:p>
                <w:p>
                  <w:pPr>
                    <w:numPr>
                      <w:ilvl w:val="0"/>
                      <w:numId w:val="2"/>
                    </w:numPr>
                    <w:tabs>
                      <w:tab w:val="left" w:pos="8100"/>
                    </w:tabs>
                    <w:rPr>
                      <w:rFonts w:ascii="隶书" w:eastAsia="隶书"/>
                    </w:rPr>
                  </w:pPr>
                  <w:r>
                    <w:rPr>
                      <w:rFonts w:hint="eastAsia" w:ascii="隶书" w:eastAsia="隶书"/>
                    </w:rPr>
                    <w:t>了解学生对课程要求和期待</w:t>
                  </w:r>
                </w:p>
                <w:p>
                  <w:pPr>
                    <w:numPr>
                      <w:ilvl w:val="0"/>
                      <w:numId w:val="2"/>
                    </w:numPr>
                    <w:tabs>
                      <w:tab w:val="left" w:pos="8100"/>
                    </w:tabs>
                    <w:rPr>
                      <w:rFonts w:ascii="隶书" w:eastAsia="隶书"/>
                    </w:rPr>
                  </w:pPr>
                  <w:r>
                    <w:rPr>
                      <w:rFonts w:hint="eastAsia" w:ascii="隶书" w:eastAsia="隶书"/>
                    </w:rPr>
                    <w:t>介绍诺贝尔其人及诺贝尔奖</w:t>
                  </w:r>
                </w:p>
                <w:p>
                  <w:pPr>
                    <w:numPr>
                      <w:ilvl w:val="0"/>
                      <w:numId w:val="2"/>
                    </w:numPr>
                    <w:tabs>
                      <w:tab w:val="left" w:pos="8100"/>
                    </w:tabs>
                    <w:rPr>
                      <w:rFonts w:ascii="隶书" w:eastAsia="隶书"/>
                    </w:rPr>
                  </w:pPr>
                  <w:r>
                    <w:rPr>
                      <w:rFonts w:hint="eastAsia" w:ascii="隶书" w:eastAsia="隶书"/>
                    </w:rPr>
                    <w:t>讲解第一位获奖诗人</w:t>
                  </w:r>
                </w:p>
                <w:p>
                  <w:pPr>
                    <w:numPr>
                      <w:ilvl w:val="0"/>
                      <w:numId w:val="2"/>
                    </w:numPr>
                    <w:tabs>
                      <w:tab w:val="left" w:pos="8100"/>
                    </w:tabs>
                    <w:rPr>
                      <w:rFonts w:ascii="隶书" w:eastAsia="隶书"/>
                    </w:rPr>
                  </w:pPr>
                  <w:r>
                    <w:rPr>
                      <w:rFonts w:ascii="隶书" w:eastAsia="隶书"/>
                    </w:rPr>
                    <w:t>20</w:t>
                  </w:r>
                  <w:r>
                    <w:rPr>
                      <w:rFonts w:hint="eastAsia" w:ascii="隶书" w:eastAsia="隶书"/>
                    </w:rPr>
                    <w:t>世纪从传统诗作到现代诗的追求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2</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color w:val="000000"/>
                    </w:rPr>
                  </w:pPr>
                  <w:r>
                    <w:rPr>
                      <w:rFonts w:hint="eastAsia" w:ascii="宋体" w:hAnsi="宋体"/>
                    </w:rPr>
                    <w:t>【中】莫言《红高粱》（</w:t>
                  </w:r>
                  <w:r>
                    <w:rPr>
                      <w:rFonts w:ascii="宋体" w:hAnsi="宋体"/>
                    </w:rPr>
                    <w:t>2012</w:t>
                  </w:r>
                  <w:r>
                    <w:rPr>
                      <w:rFonts w:hint="eastAsia" w:ascii="宋体" w:hAnsi="宋体"/>
                    </w:rPr>
                    <w:t>）及</w:t>
                  </w:r>
                  <w:r>
                    <w:rPr>
                      <w:rFonts w:hint="eastAsia" w:ascii="宋体" w:hAnsi="宋体"/>
                      <w:color w:val="000000"/>
                    </w:rPr>
                    <w:t>《丰乳肥臀》</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r>
                    <w:rPr>
                      <w:rFonts w:hint="eastAsia" w:ascii="隶书" w:eastAsia="隶书"/>
                    </w:rPr>
                    <w:t>讲解作品，并利用音像资料，比较文学与电影改编展开课堂讨论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3</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hint="eastAsia" w:ascii="宋体" w:hAnsi="宋体"/>
                      <w:color w:val="000000"/>
                    </w:rPr>
                    <w:t>莫言《檀香刑》、《生死疲劳》、《蛙》</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r>
                    <w:rPr>
                      <w:rFonts w:hint="eastAsia" w:ascii="隶书" w:eastAsia="隶书"/>
                    </w:rPr>
                    <w:t>从中国寻根文学到世界现代主义文学的分析探讨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4</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ind w:firstLine="1050" w:firstLineChars="500"/>
                    <w:rPr>
                      <w:rFonts w:ascii="宋体"/>
                    </w:rPr>
                  </w:pPr>
                  <w:r>
                    <w:rPr>
                      <w:rFonts w:hint="eastAsia"/>
                    </w:rPr>
                    <w:t>君特</w:t>
                  </w:r>
                  <w:r>
                    <w:t>-</w:t>
                  </w:r>
                  <w:r>
                    <w:rPr>
                      <w:rFonts w:hint="eastAsia"/>
                    </w:rPr>
                    <w:t>格拉斯（</w:t>
                  </w:r>
                  <w:r>
                    <w:t>1999</w:t>
                  </w:r>
                  <w:r>
                    <w:rPr>
                      <w:rFonts w:hint="eastAsia"/>
                    </w:rPr>
                    <w:t>）《铁皮鼓》；《剥洋葱》</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r>
                    <w:rPr>
                      <w:rFonts w:hint="eastAsia" w:ascii="隶书" w:eastAsia="隶书"/>
                    </w:rPr>
                    <w:t>介绍现代派、荒诞派、黑色幽默</w:t>
                  </w:r>
                </w:p>
                <w:p>
                  <w:pPr>
                    <w:tabs>
                      <w:tab w:val="left" w:pos="8100"/>
                    </w:tabs>
                    <w:rPr>
                      <w:rFonts w:ascii="隶书" w:eastAsia="隶书"/>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6"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5</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color w:val="000000"/>
                    </w:rPr>
                  </w:pPr>
                  <w:r>
                    <w:rPr>
                      <w:rFonts w:hint="eastAsia" w:ascii="宋体" w:hAnsi="宋体"/>
                      <w:color w:val="000000"/>
                    </w:rPr>
                    <w:t>【</w:t>
                  </w:r>
                  <w:r>
                    <w:rPr>
                      <w:rFonts w:hint="eastAsia" w:ascii="宋体" w:hAnsi="宋体"/>
                      <w:color w:val="000000"/>
                      <w:kern w:val="0"/>
                    </w:rPr>
                    <w:t>哥伦比亚</w:t>
                  </w:r>
                  <w:r>
                    <w:rPr>
                      <w:rFonts w:hint="eastAsia" w:ascii="宋体" w:hAnsi="宋体"/>
                      <w:color w:val="000000"/>
                    </w:rPr>
                    <w:t>】马尔克斯（</w:t>
                  </w:r>
                  <w:r>
                    <w:rPr>
                      <w:rFonts w:ascii="宋体" w:hAnsi="宋体"/>
                      <w:color w:val="000000"/>
                    </w:rPr>
                    <w:t>1982</w:t>
                  </w:r>
                  <w:r>
                    <w:rPr>
                      <w:rFonts w:hint="eastAsia" w:ascii="宋体" w:hAnsi="宋体"/>
                      <w:color w:val="000000"/>
                    </w:rPr>
                    <w:t>）《百年孤独》</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r>
                    <w:rPr>
                      <w:rFonts w:hint="eastAsia" w:ascii="隶书" w:eastAsia="隶书"/>
                    </w:rPr>
                    <w:t>魔幻现实主义成为经久不衰的世界旋风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6"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6</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color w:val="000000"/>
                    </w:rPr>
                  </w:pPr>
                  <w:r>
                    <w:rPr>
                      <w:rFonts w:hint="eastAsia" w:ascii="宋体" w:hAnsi="宋体"/>
                      <w:color w:val="000000"/>
                    </w:rPr>
                    <w:t>马尔克斯《霍乱时的爱情》</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r>
                    <w:rPr>
                      <w:rFonts w:hint="eastAsia" w:ascii="隶书" w:eastAsia="隶书"/>
                    </w:rPr>
                    <w:t>探讨现代主义写作</w:t>
                  </w:r>
                </w:p>
                <w:p>
                  <w:pPr>
                    <w:tabs>
                      <w:tab w:val="left" w:pos="8100"/>
                    </w:tabs>
                    <w:rPr>
                      <w:rFonts w:ascii="隶书" w:eastAsia="隶书"/>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7</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color w:val="000000"/>
                    </w:rPr>
                  </w:pPr>
                  <w:r>
                    <w:rPr>
                      <w:rFonts w:hint="eastAsia" w:ascii="宋体" w:hAnsi="宋体"/>
                      <w:color w:val="000000"/>
                    </w:rPr>
                    <w:t>【秘】</w:t>
                  </w:r>
                  <w:r>
                    <w:rPr>
                      <w:rFonts w:hint="eastAsia"/>
                    </w:rPr>
                    <w:t>马里奥</w:t>
                  </w:r>
                  <w:r>
                    <w:t>·</w:t>
                  </w:r>
                  <w:r>
                    <w:rPr>
                      <w:rFonts w:hint="eastAsia"/>
                    </w:rPr>
                    <w:t>巴尔加斯</w:t>
                  </w:r>
                  <w:r>
                    <w:t>·</w:t>
                  </w:r>
                  <w:r>
                    <w:rPr>
                      <w:rFonts w:hint="eastAsia" w:ascii="宋体" w:hAnsi="宋体"/>
                      <w:color w:val="000000"/>
                    </w:rPr>
                    <w:t>略萨（</w:t>
                  </w:r>
                  <w:r>
                    <w:rPr>
                      <w:rFonts w:ascii="宋体" w:hAnsi="宋体"/>
                      <w:color w:val="000000"/>
                    </w:rPr>
                    <w:t>2010</w:t>
                  </w:r>
                  <w:r>
                    <w:rPr>
                      <w:rFonts w:hint="eastAsia" w:ascii="宋体" w:hAnsi="宋体"/>
                      <w:color w:val="000000"/>
                    </w:rPr>
                    <w:t>）《劳军女郎》及《胡里亚姨妈》</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r>
                    <w:rPr>
                      <w:rFonts w:hint="eastAsia" w:ascii="隶书" w:eastAsia="隶书"/>
                    </w:rPr>
                    <w:t>比较拉丁美洲叙事方法</w:t>
                  </w:r>
                </w:p>
                <w:p>
                  <w:pPr>
                    <w:tabs>
                      <w:tab w:val="left" w:pos="8100"/>
                    </w:tabs>
                    <w:rPr>
                      <w:rFonts w:ascii="隶书" w:eastAsia="隶书"/>
                    </w:rPr>
                  </w:pPr>
                </w:p>
                <w:p>
                  <w:pPr>
                    <w:tabs>
                      <w:tab w:val="left" w:pos="8100"/>
                    </w:tabs>
                    <w:rPr>
                      <w:rFonts w:ascii="隶书" w:eastAsia="隶书"/>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8</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color w:val="000000"/>
                    </w:rPr>
                  </w:pPr>
                  <w:r>
                    <w:rPr>
                      <w:rFonts w:hint="eastAsia" w:ascii="宋体" w:hAnsi="宋体"/>
                      <w:color w:val="000000"/>
                    </w:rPr>
                    <w:t>略萨《酒吧长谈》</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r>
                    <w:rPr>
                      <w:rFonts w:hint="eastAsia" w:ascii="隶书" w:eastAsia="隶书"/>
                    </w:rPr>
                    <w:t>讲解文学与政治的关系及课堂讨论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9</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color w:val="000000"/>
                    </w:rPr>
                  </w:pPr>
                  <w:r>
                    <w:rPr>
                      <w:rFonts w:hint="eastAsia"/>
                    </w:rPr>
                    <w:t>【美】威廉</w:t>
                  </w:r>
                  <w:r>
                    <w:t>·</w:t>
                  </w:r>
                  <w:r>
                    <w:rPr>
                      <w:rFonts w:hint="eastAsia"/>
                    </w:rPr>
                    <w:t>福克纳（</w:t>
                  </w:r>
                  <w:r>
                    <w:t>1949</w:t>
                  </w:r>
                  <w:r>
                    <w:rPr>
                      <w:rFonts w:hint="eastAsia"/>
                    </w:rPr>
                    <w:t>）《我弥留之际》及《喧哗与骚动》</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p>
                <w:p>
                  <w:pPr>
                    <w:tabs>
                      <w:tab w:val="left" w:pos="8100"/>
                    </w:tabs>
                    <w:rPr>
                      <w:rFonts w:ascii="隶书" w:eastAsia="隶书"/>
                    </w:rPr>
                  </w:pPr>
                  <w:r>
                    <w:rPr>
                      <w:rFonts w:hint="eastAsia" w:ascii="隶书" w:eastAsia="隶书"/>
                    </w:rPr>
                    <w:t>探讨对世界文学的贡献和影响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10</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ind w:firstLine="105" w:firstLineChars="50"/>
                    <w:rPr>
                      <w:rFonts w:ascii="宋体"/>
                      <w:color w:val="000000"/>
                    </w:rPr>
                  </w:pPr>
                  <w:r>
                    <w:rPr>
                      <w:rFonts w:hint="eastAsia"/>
                    </w:rPr>
                    <w:t>【法】阿尔贝</w:t>
                  </w:r>
                  <w:r>
                    <w:t>·</w:t>
                  </w:r>
                  <w:r>
                    <w:rPr>
                      <w:rFonts w:hint="eastAsia"/>
                    </w:rPr>
                    <w:t>加缪（</w:t>
                  </w:r>
                  <w:r>
                    <w:t>1957</w:t>
                  </w:r>
                  <w:r>
                    <w:rPr>
                      <w:rFonts w:hint="eastAsia"/>
                    </w:rPr>
                    <w:t>）《局外人</w:t>
                  </w:r>
                  <w:r>
                    <w:t>·</w:t>
                  </w:r>
                  <w:r>
                    <w:rPr>
                      <w:rFonts w:hint="eastAsia"/>
                    </w:rPr>
                    <w:t>鼠疫》及《西绪福斯》</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p>
                <w:p>
                  <w:pPr>
                    <w:tabs>
                      <w:tab w:val="left" w:pos="8100"/>
                    </w:tabs>
                    <w:rPr>
                      <w:rFonts w:ascii="隶书" w:eastAsia="隶书"/>
                    </w:rPr>
                  </w:pPr>
                  <w:r>
                    <w:rPr>
                      <w:rFonts w:hint="eastAsia" w:ascii="隶书" w:eastAsia="隶书"/>
                    </w:rPr>
                    <w:t>探讨思想理念</w:t>
                  </w:r>
                </w:p>
                <w:p>
                  <w:pPr>
                    <w:tabs>
                      <w:tab w:val="left" w:pos="8100"/>
                    </w:tabs>
                    <w:rPr>
                      <w:rFonts w:ascii="隶书" w:eastAsia="隶书"/>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6"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11</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color w:val="000000"/>
                    </w:rPr>
                  </w:pPr>
                  <w:r>
                    <w:rPr>
                      <w:rFonts w:hint="eastAsia"/>
                    </w:rPr>
                    <w:t>【德】保尔</w:t>
                  </w:r>
                  <w:r>
                    <w:t>·</w:t>
                  </w:r>
                  <w:r>
                    <w:rPr>
                      <w:rFonts w:hint="eastAsia"/>
                    </w:rPr>
                    <w:t>托马斯</w:t>
                  </w:r>
                  <w:r>
                    <w:t>·</w:t>
                  </w:r>
                  <w:r>
                    <w:rPr>
                      <w:rFonts w:hint="eastAsia"/>
                    </w:rPr>
                    <w:t>曼（</w:t>
                  </w:r>
                  <w:r>
                    <w:t>1929</w:t>
                  </w:r>
                  <w:r>
                    <w:rPr>
                      <w:rFonts w:hint="eastAsia"/>
                    </w:rPr>
                    <w:t>）《魔山》</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p>
                <w:p>
                  <w:pPr>
                    <w:tabs>
                      <w:tab w:val="left" w:pos="8100"/>
                    </w:tabs>
                    <w:rPr>
                      <w:rFonts w:ascii="隶书" w:eastAsia="隶书"/>
                    </w:rPr>
                  </w:pPr>
                  <w:r>
                    <w:rPr>
                      <w:rFonts w:hint="eastAsia" w:ascii="隶书" w:eastAsia="隶书"/>
                    </w:rPr>
                    <w:t>比较分析长中短篇小说立意与写作之别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7"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jc w:val="center"/>
                    <w:rPr>
                      <w:rFonts w:ascii="宋体"/>
                    </w:rPr>
                  </w:pPr>
                  <w:r>
                    <w:rPr>
                      <w:rFonts w:ascii="宋体" w:hAnsi="宋体"/>
                    </w:rPr>
                    <w:t>12</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color w:val="000000"/>
                    </w:rPr>
                  </w:pPr>
                  <w:r>
                    <w:rPr>
                      <w:rFonts w:hint="eastAsia"/>
                    </w:rPr>
                    <w:t>【美】欧内斯特</w:t>
                  </w:r>
                  <w:r>
                    <w:t>·</w:t>
                  </w:r>
                  <w:r>
                    <w:rPr>
                      <w:rFonts w:hint="eastAsia"/>
                    </w:rPr>
                    <w:t>海明威（</w:t>
                  </w:r>
                  <w:r>
                    <w:t>1954</w:t>
                  </w:r>
                  <w:r>
                    <w:rPr>
                      <w:rFonts w:hint="eastAsia"/>
                    </w:rPr>
                    <w:t>）《老人与海》</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p>
                <w:p>
                  <w:pPr>
                    <w:tabs>
                      <w:tab w:val="left" w:pos="8100"/>
                    </w:tabs>
                    <w:rPr>
                      <w:rFonts w:ascii="隶书" w:eastAsia="隶书"/>
                    </w:rPr>
                  </w:pPr>
                  <w:r>
                    <w:rPr>
                      <w:rFonts w:hint="eastAsia" w:ascii="隶书" w:eastAsia="隶书"/>
                    </w:rPr>
                    <w:t>比较文学与电影，探讨人性与搏斗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ind w:firstLine="105" w:firstLineChars="50"/>
                    <w:rPr>
                      <w:rFonts w:ascii="宋体"/>
                    </w:rPr>
                  </w:pPr>
                  <w:r>
                    <w:rPr>
                      <w:rFonts w:ascii="宋体" w:hAnsi="宋体"/>
                    </w:rPr>
                    <w:t>13</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color w:val="000000"/>
                    </w:rPr>
                  </w:pPr>
                  <w:r>
                    <w:rPr>
                      <w:rFonts w:hint="eastAsia"/>
                    </w:rPr>
                    <w:t>【德】君特</w:t>
                  </w:r>
                  <w:r>
                    <w:t>-</w:t>
                  </w:r>
                  <w:r>
                    <w:rPr>
                      <w:rFonts w:hint="eastAsia"/>
                    </w:rPr>
                    <w:t>格拉斯（</w:t>
                  </w:r>
                  <w:r>
                    <w:t>1999</w:t>
                  </w:r>
                  <w:r>
                    <w:rPr>
                      <w:rFonts w:hint="eastAsia"/>
                    </w:rPr>
                    <w:t>）《铁皮鼓》</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p>
                <w:p>
                  <w:pPr>
                    <w:tabs>
                      <w:tab w:val="left" w:pos="8100"/>
                    </w:tabs>
                    <w:rPr>
                      <w:rFonts w:ascii="隶书" w:eastAsia="隶书"/>
                    </w:rPr>
                  </w:pPr>
                  <w:r>
                    <w:rPr>
                      <w:rFonts w:hint="eastAsia" w:ascii="隶书" w:eastAsia="隶书"/>
                    </w:rPr>
                    <w:t>比较文学与电影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ind w:firstLine="105" w:firstLineChars="50"/>
                    <w:rPr>
                      <w:rFonts w:ascii="宋体"/>
                    </w:rPr>
                  </w:pPr>
                  <w:r>
                    <w:rPr>
                      <w:rFonts w:ascii="宋体" w:hAnsi="宋体"/>
                    </w:rPr>
                    <w:t>14</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color w:val="000000"/>
                    </w:rPr>
                  </w:pPr>
                  <w:r>
                    <w:rPr>
                      <w:rFonts w:hint="eastAsia" w:ascii="宋体" w:hAnsi="宋体"/>
                      <w:color w:val="000000"/>
                      <w:kern w:val="0"/>
                    </w:rPr>
                    <w:t>【俄】帕斯捷尔纳克（</w:t>
                  </w:r>
                  <w:r>
                    <w:rPr>
                      <w:rFonts w:ascii="宋体" w:hAnsi="宋体"/>
                      <w:color w:val="000000"/>
                      <w:kern w:val="0"/>
                    </w:rPr>
                    <w:t>1958</w:t>
                  </w:r>
                  <w:r>
                    <w:rPr>
                      <w:rFonts w:hint="eastAsia" w:ascii="宋体" w:hAnsi="宋体"/>
                      <w:color w:val="000000"/>
                      <w:kern w:val="0"/>
                    </w:rPr>
                    <w:t>）《日瓦戈医生》、</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p>
                <w:p>
                  <w:pPr>
                    <w:tabs>
                      <w:tab w:val="left" w:pos="8100"/>
                    </w:tabs>
                    <w:rPr>
                      <w:rFonts w:ascii="隶书" w:eastAsia="隶书"/>
                    </w:rPr>
                  </w:pPr>
                  <w:r>
                    <w:rPr>
                      <w:rFonts w:hint="eastAsia" w:ascii="隶书" w:eastAsia="隶书"/>
                    </w:rPr>
                    <w:t>探讨爱情、文学与战争</w:t>
                  </w:r>
                </w:p>
                <w:p>
                  <w:pPr>
                    <w:tabs>
                      <w:tab w:val="left" w:pos="8100"/>
                    </w:tabs>
                    <w:rPr>
                      <w:rFonts w:ascii="隶书" w:eastAsia="隶书"/>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16</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hint="eastAsia"/>
                    </w:rPr>
                    <w:t>【日】大江健三郎（</w:t>
                  </w:r>
                  <w:r>
                    <w:t>1994</w:t>
                  </w:r>
                  <w:r>
                    <w:rPr>
                      <w:rFonts w:hint="eastAsia"/>
                    </w:rPr>
                    <w:t>）《个人的体检》</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r>
                    <w:rPr>
                      <w:rFonts w:hint="eastAsia" w:ascii="隶书" w:eastAsia="隶书"/>
                    </w:rPr>
                    <w:t>分析现代人及城市体验</w:t>
                  </w:r>
                </w:p>
                <w:p>
                  <w:pPr>
                    <w:tabs>
                      <w:tab w:val="left" w:pos="8100"/>
                    </w:tabs>
                    <w:rPr>
                      <w:rFonts w:ascii="隶书" w:eastAsia="隶书"/>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2"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17</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hint="eastAsia"/>
                    </w:rPr>
                    <w:t>【英】多丽丝</w:t>
                  </w:r>
                  <w:r>
                    <w:t>·</w:t>
                  </w:r>
                  <w:r>
                    <w:rPr>
                      <w:rFonts w:hint="eastAsia"/>
                    </w:rPr>
                    <w:t>莱辛（</w:t>
                  </w:r>
                  <w:r>
                    <w:t>2007</w:t>
                  </w:r>
                  <w:r>
                    <w:rPr>
                      <w:rFonts w:hint="eastAsia"/>
                    </w:rPr>
                    <w:t>）《金色笔记》</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p>
                <w:p>
                  <w:pPr>
                    <w:tabs>
                      <w:tab w:val="left" w:pos="8100"/>
                    </w:tabs>
                    <w:rPr>
                      <w:rFonts w:ascii="隶书" w:eastAsia="隶书"/>
                    </w:rPr>
                  </w:pPr>
                  <w:r>
                    <w:rPr>
                      <w:rFonts w:hint="eastAsia" w:ascii="隶书" w:eastAsia="隶书"/>
                    </w:rPr>
                    <w:t>分析女性写作并介绍女性主义理论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6"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ascii="宋体" w:hAnsi="宋体"/>
                    </w:rPr>
                    <w:t>18</w:t>
                  </w: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hint="eastAsia"/>
                    </w:rPr>
                    <w:t>【美】托尼</w:t>
                  </w:r>
                  <w:r>
                    <w:t>·</w:t>
                  </w:r>
                  <w:r>
                    <w:rPr>
                      <w:rFonts w:hint="eastAsia"/>
                    </w:rPr>
                    <w:t>莫里森（</w:t>
                  </w:r>
                  <w:r>
                    <w:t>1993</w:t>
                  </w:r>
                  <w:r>
                    <w:rPr>
                      <w:rFonts w:hint="eastAsia"/>
                    </w:rPr>
                    <w:t>）《所罗门之歌》《</w:t>
                  </w:r>
                  <w:r>
                    <w:t>Beloved</w:t>
                  </w:r>
                  <w:r>
                    <w:rPr>
                      <w:rFonts w:hint="eastAsia"/>
                    </w:rPr>
                    <w:t>》</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r>
                    <w:rPr>
                      <w:rFonts w:ascii="宋体" w:hAnsi="宋体"/>
                    </w:rPr>
                    <w:t>2</w:t>
                  </w: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p>
                <w:p>
                  <w:pPr>
                    <w:tabs>
                      <w:tab w:val="left" w:pos="8100"/>
                    </w:tabs>
                    <w:rPr>
                      <w:rFonts w:ascii="隶书" w:eastAsia="隶书"/>
                    </w:rPr>
                  </w:pPr>
                  <w:r>
                    <w:rPr>
                      <w:rFonts w:hint="eastAsia" w:ascii="隶书" w:eastAsia="隶书"/>
                    </w:rPr>
                    <w:t>分析探讨文学与种族的关系，介绍后殖民理论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1016"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p>
              </w:tc>
              <w:tc>
                <w:tcPr>
                  <w:tcW w:w="2992" w:type="dxa"/>
                  <w:tcBorders>
                    <w:top w:val="single" w:color="auto" w:sz="4" w:space="0"/>
                    <w:left w:val="single" w:color="auto" w:sz="4" w:space="0"/>
                    <w:bottom w:val="single" w:color="auto" w:sz="4" w:space="0"/>
                    <w:right w:val="single" w:color="auto" w:sz="4" w:space="0"/>
                  </w:tcBorders>
                </w:tcPr>
                <w:p>
                  <w:pPr>
                    <w:tabs>
                      <w:tab w:val="left" w:pos="8100"/>
                    </w:tabs>
                    <w:rPr>
                      <w:rFonts w:ascii="宋体"/>
                    </w:rPr>
                  </w:pPr>
                  <w:r>
                    <w:rPr>
                      <w:rFonts w:hint="eastAsia" w:ascii="宋体" w:hAnsi="宋体"/>
                      <w:color w:val="000000"/>
                    </w:rPr>
                    <w:t>复习考查</w:t>
                  </w:r>
                </w:p>
              </w:tc>
              <w:tc>
                <w:tcPr>
                  <w:tcW w:w="714"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p>
              </w:tc>
              <w:tc>
                <w:tcPr>
                  <w:tcW w:w="5257" w:type="dxa"/>
                  <w:tcBorders>
                    <w:top w:val="single" w:color="auto" w:sz="4" w:space="0"/>
                    <w:left w:val="single" w:color="auto" w:sz="4" w:space="0"/>
                    <w:bottom w:val="single" w:color="auto" w:sz="4" w:space="0"/>
                    <w:right w:val="single" w:color="auto" w:sz="4" w:space="0"/>
                  </w:tcBorders>
                </w:tcPr>
                <w:p>
                  <w:pPr>
                    <w:tabs>
                      <w:tab w:val="left" w:pos="8100"/>
                    </w:tabs>
                    <w:rPr>
                      <w:rFonts w:ascii="隶书" w:eastAsia="隶书"/>
                    </w:rPr>
                  </w:pPr>
                </w:p>
                <w:p>
                  <w:pPr>
                    <w:tabs>
                      <w:tab w:val="left" w:pos="8100"/>
                    </w:tabs>
                    <w:rPr>
                      <w:rFonts w:ascii="隶书" w:eastAsia="隶书"/>
                    </w:rPr>
                  </w:pPr>
                </w:p>
              </w:tc>
            </w:tr>
          </w:tbl>
          <w:p>
            <w:pPr>
              <w:widowControl/>
              <w:tabs>
                <w:tab w:val="center" w:pos="4153"/>
                <w:tab w:val="right" w:pos="8306"/>
              </w:tabs>
              <w:snapToGrid w:val="0"/>
              <w:spacing w:line="360" w:lineRule="auto"/>
              <w:ind w:firstLine="420" w:firstLineChars="200"/>
              <w:jc w:val="left"/>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8" w:usb3="00000000" w:csb0="000001FF" w:csb1="00000000"/>
  </w:font>
  <w:font w:name="华文仿宋">
    <w:panose1 w:val="02010600040101010101"/>
    <w:charset w:val="86"/>
    <w:family w:val="auto"/>
    <w:pitch w:val="default"/>
    <w:sig w:usb0="00000287" w:usb1="080F0000" w:usb2="00000000" w:usb3="00000000" w:csb0="0004009F" w:csb1="DFD70000"/>
  </w:font>
  <w:font w:name="Helvetica Neue">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方正仿宋简体">
    <w:altName w:val="黑体"/>
    <w:panose1 w:val="00000000000000000000"/>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00001" w:csb1="00000000"/>
  </w:font>
  <w:font w:name="??">
    <w:altName w:val="Times New Roman"/>
    <w:panose1 w:val="00000000000000000000"/>
    <w:charset w:val="00"/>
    <w:family w:val="auto"/>
    <w:pitch w:val="default"/>
    <w:sig w:usb0="00000000" w:usb1="00000000" w:usb2="0000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 w:name="隶书">
    <w:panose1 w:val="0201050906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109E"/>
    <w:multiLevelType w:val="multilevel"/>
    <w:tmpl w:val="0172109E"/>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1C27399"/>
    <w:multiLevelType w:val="multilevel"/>
    <w:tmpl w:val="41C27399"/>
    <w:lvl w:ilvl="0" w:tentative="0">
      <w:start w:val="1"/>
      <w:numFmt w:val="decimal"/>
      <w:lvlText w:val="%1，"/>
      <w:lvlJc w:val="left"/>
      <w:pPr>
        <w:tabs>
          <w:tab w:val="left" w:pos="720"/>
        </w:tabs>
        <w:ind w:left="720" w:hanging="360"/>
      </w:pPr>
      <w:rPr>
        <w:rFonts w:hint="default" w:cs="Times New Roman"/>
        <w:color w:val="000000"/>
      </w:rPr>
    </w:lvl>
    <w:lvl w:ilvl="1" w:tentative="0">
      <w:start w:val="1"/>
      <w:numFmt w:val="lowerLetter"/>
      <w:lvlText w:val="%2)"/>
      <w:lvlJc w:val="left"/>
      <w:pPr>
        <w:tabs>
          <w:tab w:val="left" w:pos="1200"/>
        </w:tabs>
        <w:ind w:left="1200" w:hanging="420"/>
      </w:pPr>
      <w:rPr>
        <w:rFonts w:cs="Times New Roman"/>
      </w:rPr>
    </w:lvl>
    <w:lvl w:ilvl="2" w:tentative="0">
      <w:start w:val="1"/>
      <w:numFmt w:val="lowerRoman"/>
      <w:lvlText w:val="%3."/>
      <w:lvlJc w:val="right"/>
      <w:pPr>
        <w:tabs>
          <w:tab w:val="left" w:pos="1620"/>
        </w:tabs>
        <w:ind w:left="1620" w:hanging="420"/>
      </w:pPr>
      <w:rPr>
        <w:rFonts w:cs="Times New Roman"/>
      </w:rPr>
    </w:lvl>
    <w:lvl w:ilvl="3" w:tentative="0">
      <w:start w:val="1"/>
      <w:numFmt w:val="decimal"/>
      <w:lvlText w:val="%4."/>
      <w:lvlJc w:val="left"/>
      <w:pPr>
        <w:tabs>
          <w:tab w:val="left" w:pos="2040"/>
        </w:tabs>
        <w:ind w:left="2040" w:hanging="420"/>
      </w:pPr>
      <w:rPr>
        <w:rFonts w:cs="Times New Roman"/>
      </w:rPr>
    </w:lvl>
    <w:lvl w:ilvl="4" w:tentative="0">
      <w:start w:val="1"/>
      <w:numFmt w:val="lowerLetter"/>
      <w:lvlText w:val="%5)"/>
      <w:lvlJc w:val="left"/>
      <w:pPr>
        <w:tabs>
          <w:tab w:val="left" w:pos="2460"/>
        </w:tabs>
        <w:ind w:left="2460" w:hanging="420"/>
      </w:pPr>
      <w:rPr>
        <w:rFonts w:cs="Times New Roman"/>
      </w:rPr>
    </w:lvl>
    <w:lvl w:ilvl="5" w:tentative="0">
      <w:start w:val="1"/>
      <w:numFmt w:val="lowerRoman"/>
      <w:lvlText w:val="%6."/>
      <w:lvlJc w:val="right"/>
      <w:pPr>
        <w:tabs>
          <w:tab w:val="left" w:pos="2880"/>
        </w:tabs>
        <w:ind w:left="2880" w:hanging="420"/>
      </w:pPr>
      <w:rPr>
        <w:rFonts w:cs="Times New Roman"/>
      </w:rPr>
    </w:lvl>
    <w:lvl w:ilvl="6" w:tentative="0">
      <w:start w:val="1"/>
      <w:numFmt w:val="decimal"/>
      <w:lvlText w:val="%7."/>
      <w:lvlJc w:val="left"/>
      <w:pPr>
        <w:tabs>
          <w:tab w:val="left" w:pos="3300"/>
        </w:tabs>
        <w:ind w:left="3300" w:hanging="420"/>
      </w:pPr>
      <w:rPr>
        <w:rFonts w:cs="Times New Roman"/>
      </w:rPr>
    </w:lvl>
    <w:lvl w:ilvl="7" w:tentative="0">
      <w:start w:val="1"/>
      <w:numFmt w:val="lowerLetter"/>
      <w:lvlText w:val="%8)"/>
      <w:lvlJc w:val="left"/>
      <w:pPr>
        <w:tabs>
          <w:tab w:val="left" w:pos="3720"/>
        </w:tabs>
        <w:ind w:left="3720" w:hanging="420"/>
      </w:pPr>
      <w:rPr>
        <w:rFonts w:cs="Times New Roman"/>
      </w:rPr>
    </w:lvl>
    <w:lvl w:ilvl="8" w:tentative="0">
      <w:start w:val="1"/>
      <w:numFmt w:val="lowerRoman"/>
      <w:lvlText w:val="%9."/>
      <w:lvlJc w:val="right"/>
      <w:pPr>
        <w:tabs>
          <w:tab w:val="left" w:pos="4140"/>
        </w:tabs>
        <w:ind w:left="414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401"/>
    <w:rsid w:val="00055F5C"/>
    <w:rsid w:val="00061A83"/>
    <w:rsid w:val="000A4BE6"/>
    <w:rsid w:val="000C33F1"/>
    <w:rsid w:val="001940B7"/>
    <w:rsid w:val="002762E4"/>
    <w:rsid w:val="00296CA5"/>
    <w:rsid w:val="002B4381"/>
    <w:rsid w:val="004A316A"/>
    <w:rsid w:val="0050048D"/>
    <w:rsid w:val="00576B2D"/>
    <w:rsid w:val="00577F42"/>
    <w:rsid w:val="005B7CFB"/>
    <w:rsid w:val="0070569B"/>
    <w:rsid w:val="00712401"/>
    <w:rsid w:val="0078580A"/>
    <w:rsid w:val="007867F3"/>
    <w:rsid w:val="008F0C97"/>
    <w:rsid w:val="00903D8B"/>
    <w:rsid w:val="00915C5E"/>
    <w:rsid w:val="0093661B"/>
    <w:rsid w:val="009528C1"/>
    <w:rsid w:val="00A22186"/>
    <w:rsid w:val="00B006F0"/>
    <w:rsid w:val="00E0633B"/>
    <w:rsid w:val="00F678F6"/>
    <w:rsid w:val="00FB2E68"/>
    <w:rsid w:val="00FC3CE2"/>
    <w:rsid w:val="02F905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11</Pages>
  <Words>773</Words>
  <Characters>4412</Characters>
  <Lines>0</Lines>
  <Paragraphs>0</Paragraphs>
  <TotalTime>0</TotalTime>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2017-12-26T14:37:00Z</dcterms:created>
  <dc:creator>John</dc:creator>
  <cp:lastModifiedBy>John</cp:lastModifiedBy>
  <dcterms:modified xsi:type="dcterms:W3CDTF">2017-12-27T01:29:56Z</dcterms:modified>
  <dc:title>附件4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