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14B" w:rsidRPr="00746229" w:rsidRDefault="005E214B" w:rsidP="005E214B">
      <w:pPr>
        <w:pStyle w:val="a3"/>
        <w:spacing w:beforeLines="50" w:before="156" w:afterLines="50" w:after="156" w:line="600" w:lineRule="exact"/>
        <w:ind w:firstLineChars="0" w:firstLine="0"/>
        <w:jc w:val="center"/>
        <w:rPr>
          <w:rFonts w:ascii="方正小标宋简体" w:eastAsia="方正小标宋简体" w:hAnsi="宋体"/>
          <w:sz w:val="44"/>
          <w:szCs w:val="44"/>
        </w:rPr>
      </w:pPr>
      <w:r w:rsidRPr="00746229">
        <w:rPr>
          <w:rFonts w:ascii="方正小标宋简体" w:eastAsia="方正小标宋简体" w:hAnsi="宋体" w:hint="eastAsia"/>
          <w:sz w:val="44"/>
          <w:szCs w:val="44"/>
        </w:rPr>
        <w:t>《</w:t>
      </w:r>
      <w:r w:rsidR="002B275E">
        <w:rPr>
          <w:rFonts w:ascii="方正小标宋简体" w:eastAsia="方正小标宋简体" w:hAnsi="宋体" w:hint="eastAsia"/>
          <w:sz w:val="44"/>
          <w:szCs w:val="44"/>
        </w:rPr>
        <w:t>财务管理</w:t>
      </w:r>
      <w:r w:rsidRPr="00746229">
        <w:rPr>
          <w:rFonts w:ascii="方正小标宋简体" w:eastAsia="方正小标宋简体" w:hAnsi="宋体" w:hint="eastAsia"/>
          <w:sz w:val="44"/>
          <w:szCs w:val="44"/>
        </w:rPr>
        <w:t>》课程教学大纲</w:t>
      </w:r>
    </w:p>
    <w:p w:rsidR="005E214B" w:rsidRPr="00F0105D" w:rsidRDefault="005E214B" w:rsidP="005E214B">
      <w:pPr>
        <w:spacing w:afterLines="50" w:after="156"/>
        <w:rPr>
          <w:rFonts w:ascii="??" w:hAnsi="??" w:cs="宋体"/>
          <w:b/>
          <w:color w:val="000000"/>
          <w:kern w:val="0"/>
          <w:sz w:val="22"/>
        </w:rPr>
      </w:pPr>
      <w:r w:rsidRPr="00F0105D">
        <w:rPr>
          <w:rFonts w:eastAsia="黑体" w:hint="eastAsia"/>
          <w:bCs/>
          <w:sz w:val="28"/>
          <w:szCs w:val="32"/>
        </w:rPr>
        <w:t>一、课程基本信息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244"/>
        <w:gridCol w:w="387"/>
        <w:gridCol w:w="687"/>
        <w:gridCol w:w="956"/>
        <w:gridCol w:w="966"/>
        <w:gridCol w:w="460"/>
        <w:gridCol w:w="825"/>
        <w:gridCol w:w="938"/>
        <w:gridCol w:w="383"/>
        <w:gridCol w:w="691"/>
        <w:gridCol w:w="1312"/>
      </w:tblGrid>
      <w:tr w:rsidR="005E214B" w:rsidRPr="009F2833" w:rsidTr="00E63B91">
        <w:trPr>
          <w:trHeight w:val="569"/>
          <w:jc w:val="center"/>
        </w:trPr>
        <w:tc>
          <w:tcPr>
            <w:tcW w:w="694" w:type="dxa"/>
            <w:gridSpan w:val="2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开课学校</w:t>
            </w:r>
          </w:p>
        </w:tc>
        <w:tc>
          <w:tcPr>
            <w:tcW w:w="3615" w:type="dxa"/>
            <w:gridSpan w:val="5"/>
            <w:vAlign w:val="center"/>
          </w:tcPr>
          <w:p w:rsidR="005E214B" w:rsidRPr="002B275E" w:rsidRDefault="002B275E" w:rsidP="002B275E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景德镇陶瓷大学</w:t>
            </w:r>
          </w:p>
        </w:tc>
        <w:tc>
          <w:tcPr>
            <w:tcW w:w="851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院系</w:t>
            </w:r>
          </w:p>
        </w:tc>
        <w:tc>
          <w:tcPr>
            <w:tcW w:w="3471" w:type="dxa"/>
            <w:gridSpan w:val="4"/>
            <w:vAlign w:val="center"/>
          </w:tcPr>
          <w:p w:rsidR="005E214B" w:rsidRPr="002B275E" w:rsidRDefault="002B275E" w:rsidP="00E63B91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管理与经济学院</w:t>
            </w:r>
          </w:p>
        </w:tc>
      </w:tr>
      <w:tr w:rsidR="005E214B" w:rsidRPr="009F2833" w:rsidTr="00E63B91">
        <w:trPr>
          <w:trHeight w:val="696"/>
          <w:jc w:val="center"/>
        </w:trPr>
        <w:tc>
          <w:tcPr>
            <w:tcW w:w="694" w:type="dxa"/>
            <w:gridSpan w:val="2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课程名称</w:t>
            </w:r>
          </w:p>
        </w:tc>
        <w:tc>
          <w:tcPr>
            <w:tcW w:w="3615" w:type="dxa"/>
            <w:gridSpan w:val="5"/>
            <w:vAlign w:val="center"/>
          </w:tcPr>
          <w:p w:rsidR="005E214B" w:rsidRPr="002B275E" w:rsidRDefault="002B275E" w:rsidP="00E63B91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财务管理</w:t>
            </w:r>
          </w:p>
        </w:tc>
        <w:tc>
          <w:tcPr>
            <w:tcW w:w="851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课程英文名称</w:t>
            </w:r>
          </w:p>
        </w:tc>
        <w:tc>
          <w:tcPr>
            <w:tcW w:w="3471" w:type="dxa"/>
            <w:gridSpan w:val="4"/>
            <w:vAlign w:val="center"/>
          </w:tcPr>
          <w:p w:rsidR="005E214B" w:rsidRPr="002B275E" w:rsidRDefault="002B275E" w:rsidP="00E63B91">
            <w:pPr>
              <w:jc w:val="center"/>
              <w:rPr>
                <w:rFonts w:ascii="Times New Roman" w:eastAsia="楷体" w:hAnsi="Times New Roman"/>
                <w:sz w:val="24"/>
                <w:szCs w:val="24"/>
              </w:rPr>
            </w:pPr>
            <w:r w:rsidRPr="002B275E">
              <w:rPr>
                <w:rFonts w:ascii="Times New Roman" w:hAnsi="Times New Roman"/>
                <w:sz w:val="24"/>
                <w:szCs w:val="24"/>
              </w:rPr>
              <w:t>Financial Management</w:t>
            </w:r>
          </w:p>
        </w:tc>
      </w:tr>
      <w:tr w:rsidR="005E214B" w:rsidRPr="009F2833" w:rsidTr="00E63B91">
        <w:trPr>
          <w:trHeight w:val="634"/>
          <w:jc w:val="center"/>
        </w:trPr>
        <w:tc>
          <w:tcPr>
            <w:tcW w:w="694" w:type="dxa"/>
            <w:gridSpan w:val="2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课程编号</w:t>
            </w:r>
          </w:p>
        </w:tc>
        <w:tc>
          <w:tcPr>
            <w:tcW w:w="3615" w:type="dxa"/>
            <w:gridSpan w:val="5"/>
            <w:vAlign w:val="center"/>
          </w:tcPr>
          <w:p w:rsidR="005E214B" w:rsidRPr="002B275E" w:rsidRDefault="005E214B" w:rsidP="00E63B91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学时</w:t>
            </w:r>
          </w:p>
        </w:tc>
        <w:tc>
          <w:tcPr>
            <w:tcW w:w="1409" w:type="dxa"/>
            <w:gridSpan w:val="2"/>
            <w:vAlign w:val="center"/>
          </w:tcPr>
          <w:p w:rsidR="005E214B" w:rsidRPr="009F2833" w:rsidRDefault="006D1FB2" w:rsidP="00E63B9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32</w:t>
            </w:r>
          </w:p>
        </w:tc>
        <w:tc>
          <w:tcPr>
            <w:tcW w:w="717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学分</w:t>
            </w:r>
          </w:p>
        </w:tc>
        <w:tc>
          <w:tcPr>
            <w:tcW w:w="1345" w:type="dxa"/>
            <w:vAlign w:val="center"/>
          </w:tcPr>
          <w:p w:rsidR="005E214B" w:rsidRPr="009F2833" w:rsidRDefault="006D1FB2" w:rsidP="00E63B9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</w:tr>
      <w:tr w:rsidR="005E214B" w:rsidRPr="009F2833" w:rsidTr="00E63B91">
        <w:trPr>
          <w:trHeight w:val="634"/>
          <w:jc w:val="center"/>
        </w:trPr>
        <w:tc>
          <w:tcPr>
            <w:tcW w:w="694" w:type="dxa"/>
            <w:gridSpan w:val="2"/>
            <w:vAlign w:val="center"/>
          </w:tcPr>
          <w:p w:rsidR="005E214B" w:rsidRPr="009F2833" w:rsidRDefault="005E214B" w:rsidP="00E63B91">
            <w:pPr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课程类型</w:t>
            </w:r>
          </w:p>
        </w:tc>
        <w:tc>
          <w:tcPr>
            <w:tcW w:w="3615" w:type="dxa"/>
            <w:gridSpan w:val="5"/>
            <w:vAlign w:val="center"/>
          </w:tcPr>
          <w:p w:rsidR="005E214B" w:rsidRPr="009F2833" w:rsidRDefault="005E214B" w:rsidP="00E63B91">
            <w:pPr>
              <w:jc w:val="left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○</w:t>
            </w:r>
            <w:proofErr w:type="gramStart"/>
            <w:r w:rsidRPr="009F2833">
              <w:rPr>
                <w:rFonts w:ascii="仿宋_GB2312" w:eastAsia="仿宋_GB2312" w:hint="eastAsia"/>
              </w:rPr>
              <w:t>通识课</w:t>
            </w:r>
            <w:proofErr w:type="gramEnd"/>
            <w:r w:rsidRPr="009F2833">
              <w:rPr>
                <w:rFonts w:ascii="仿宋_GB2312" w:eastAsia="仿宋_GB2312" w:hint="eastAsia"/>
              </w:rPr>
              <w:t>○公共基础课</w:t>
            </w:r>
          </w:p>
          <w:p w:rsidR="005E214B" w:rsidRPr="009F2833" w:rsidRDefault="002B275E" w:rsidP="00E63B91">
            <w:pPr>
              <w:jc w:val="left"/>
              <w:rPr>
                <w:rFonts w:ascii="仿宋_GB2312" w:eastAsia="仿宋_GB2312"/>
              </w:rPr>
            </w:pPr>
            <w:r>
              <w:rPr>
                <w:rFonts w:ascii="仿宋" w:eastAsia="仿宋" w:hAnsi="仿宋" w:hint="eastAsia"/>
              </w:rPr>
              <w:t>■</w:t>
            </w:r>
            <w:r w:rsidR="005E214B" w:rsidRPr="009F2833">
              <w:rPr>
                <w:rFonts w:ascii="仿宋_GB2312" w:eastAsia="仿宋_GB2312" w:hint="eastAsia"/>
              </w:rPr>
              <w:t>学科基础课○专业课</w:t>
            </w:r>
          </w:p>
        </w:tc>
        <w:tc>
          <w:tcPr>
            <w:tcW w:w="851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课程</w:t>
            </w:r>
          </w:p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属性</w:t>
            </w:r>
          </w:p>
        </w:tc>
        <w:tc>
          <w:tcPr>
            <w:tcW w:w="1409" w:type="dxa"/>
            <w:gridSpan w:val="2"/>
            <w:vAlign w:val="center"/>
          </w:tcPr>
          <w:p w:rsidR="005E214B" w:rsidRPr="009F2833" w:rsidRDefault="002B275E" w:rsidP="00E63B9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" w:eastAsia="仿宋" w:hAnsi="仿宋" w:hint="eastAsia"/>
              </w:rPr>
              <w:t>■</w:t>
            </w:r>
            <w:r w:rsidR="005E214B" w:rsidRPr="009F2833">
              <w:rPr>
                <w:rFonts w:ascii="仿宋_GB2312" w:eastAsia="仿宋_GB2312" w:hint="eastAsia"/>
              </w:rPr>
              <w:t>必修课</w:t>
            </w:r>
          </w:p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○选修课</w:t>
            </w:r>
          </w:p>
        </w:tc>
        <w:tc>
          <w:tcPr>
            <w:tcW w:w="717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考核方式</w:t>
            </w:r>
          </w:p>
        </w:tc>
        <w:tc>
          <w:tcPr>
            <w:tcW w:w="1345" w:type="dxa"/>
            <w:vAlign w:val="center"/>
          </w:tcPr>
          <w:p w:rsidR="005E214B" w:rsidRPr="009F2833" w:rsidRDefault="0094581C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○</w:t>
            </w:r>
            <w:r w:rsidR="005E214B" w:rsidRPr="009F2833">
              <w:rPr>
                <w:rFonts w:ascii="仿宋_GB2312" w:eastAsia="仿宋_GB2312" w:hint="eastAsia"/>
              </w:rPr>
              <w:t>考试</w:t>
            </w:r>
          </w:p>
          <w:p w:rsidR="005E214B" w:rsidRPr="009F2833" w:rsidRDefault="0094581C" w:rsidP="00E63B9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" w:eastAsia="仿宋" w:hAnsi="仿宋" w:hint="eastAsia"/>
              </w:rPr>
              <w:t>■</w:t>
            </w:r>
            <w:r w:rsidR="005E214B" w:rsidRPr="009F2833">
              <w:rPr>
                <w:rFonts w:ascii="仿宋_GB2312" w:eastAsia="仿宋_GB2312" w:hint="eastAsia"/>
              </w:rPr>
              <w:t>考查</w:t>
            </w:r>
          </w:p>
        </w:tc>
      </w:tr>
      <w:tr w:rsidR="005E214B" w:rsidRPr="009F2833" w:rsidTr="00E63B91">
        <w:trPr>
          <w:trHeight w:val="700"/>
          <w:jc w:val="center"/>
        </w:trPr>
        <w:tc>
          <w:tcPr>
            <w:tcW w:w="694" w:type="dxa"/>
            <w:gridSpan w:val="2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适用专业</w:t>
            </w:r>
          </w:p>
        </w:tc>
        <w:tc>
          <w:tcPr>
            <w:tcW w:w="7937" w:type="dxa"/>
            <w:gridSpan w:val="10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</w:p>
        </w:tc>
      </w:tr>
      <w:tr w:rsidR="005E214B" w:rsidRPr="009F2833" w:rsidTr="00E63B91">
        <w:trPr>
          <w:trHeight w:val="697"/>
          <w:jc w:val="center"/>
        </w:trPr>
        <w:tc>
          <w:tcPr>
            <w:tcW w:w="694" w:type="dxa"/>
            <w:gridSpan w:val="2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先修课程</w:t>
            </w:r>
          </w:p>
        </w:tc>
        <w:tc>
          <w:tcPr>
            <w:tcW w:w="7937" w:type="dxa"/>
            <w:gridSpan w:val="10"/>
            <w:vAlign w:val="center"/>
          </w:tcPr>
          <w:p w:rsidR="005E214B" w:rsidRPr="002B275E" w:rsidRDefault="002B275E" w:rsidP="00E63B91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2B275E">
              <w:rPr>
                <w:rFonts w:ascii="楷体" w:eastAsia="楷体" w:hAnsi="楷体" w:hint="eastAsia"/>
                <w:sz w:val="24"/>
                <w:szCs w:val="24"/>
              </w:rPr>
              <w:t>西方经济学、管理学原理、统计学、会计学</w:t>
            </w:r>
          </w:p>
        </w:tc>
      </w:tr>
      <w:tr w:rsidR="005E214B" w:rsidRPr="009F2833" w:rsidTr="00E63B91">
        <w:trPr>
          <w:jc w:val="center"/>
        </w:trPr>
        <w:tc>
          <w:tcPr>
            <w:tcW w:w="8631" w:type="dxa"/>
            <w:gridSpan w:val="12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成绩评定</w:t>
            </w:r>
          </w:p>
        </w:tc>
      </w:tr>
      <w:tr w:rsidR="005E214B" w:rsidRPr="009F2833" w:rsidTr="00E63B91">
        <w:trPr>
          <w:trHeight w:val="513"/>
          <w:jc w:val="center"/>
        </w:trPr>
        <w:tc>
          <w:tcPr>
            <w:tcW w:w="1119" w:type="dxa"/>
            <w:gridSpan w:val="3"/>
            <w:vMerge w:val="restart"/>
            <w:vAlign w:val="center"/>
          </w:tcPr>
          <w:p w:rsidR="005E214B" w:rsidRPr="009F2833" w:rsidRDefault="00580439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○</w:t>
            </w:r>
            <w:r w:rsidR="005E214B" w:rsidRPr="009F2833">
              <w:rPr>
                <w:rFonts w:ascii="仿宋_GB2312" w:eastAsia="仿宋_GB2312" w:hint="eastAsia"/>
              </w:rPr>
              <w:t>百分制</w:t>
            </w:r>
          </w:p>
          <w:p w:rsidR="005E214B" w:rsidRPr="009F2833" w:rsidRDefault="00580439" w:rsidP="00E63B9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" w:eastAsia="仿宋" w:hAnsi="仿宋" w:hint="eastAsia"/>
              </w:rPr>
              <w:t>■</w:t>
            </w:r>
            <w:r w:rsidR="005E214B" w:rsidRPr="009F2833">
              <w:rPr>
                <w:rFonts w:ascii="仿宋_GB2312" w:eastAsia="仿宋_GB2312" w:hint="eastAsia"/>
              </w:rPr>
              <w:t>五级制</w:t>
            </w:r>
          </w:p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○两级制</w:t>
            </w:r>
          </w:p>
        </w:tc>
        <w:tc>
          <w:tcPr>
            <w:tcW w:w="6167" w:type="dxa"/>
            <w:gridSpan w:val="8"/>
            <w:vAlign w:val="center"/>
          </w:tcPr>
          <w:p w:rsidR="005E214B" w:rsidRPr="009F2833" w:rsidRDefault="005E214B" w:rsidP="002B275E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平时考核成绩比例（</w:t>
            </w:r>
            <w:r w:rsidR="002B275E">
              <w:rPr>
                <w:rFonts w:ascii="Times New Roman" w:hAnsi="Times New Roman" w:hint="eastAsia"/>
                <w:sz w:val="24"/>
                <w:szCs w:val="24"/>
              </w:rPr>
              <w:t>4</w:t>
            </w:r>
            <w:r w:rsidR="002B275E" w:rsidRPr="002B275E">
              <w:rPr>
                <w:rFonts w:ascii="Times New Roman" w:hAnsi="Times New Roman" w:hint="eastAsia"/>
                <w:sz w:val="24"/>
                <w:szCs w:val="24"/>
              </w:rPr>
              <w:t>0</w:t>
            </w:r>
            <w:r w:rsidRPr="009F2833">
              <w:rPr>
                <w:rFonts w:ascii="仿宋_GB2312" w:eastAsia="仿宋_GB2312" w:hint="eastAsia"/>
              </w:rPr>
              <w:t>）%，其中：</w:t>
            </w:r>
          </w:p>
        </w:tc>
        <w:tc>
          <w:tcPr>
            <w:tcW w:w="1345" w:type="dxa"/>
            <w:vMerge w:val="restart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期末考核</w:t>
            </w:r>
          </w:p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成绩比例</w:t>
            </w:r>
          </w:p>
          <w:p w:rsidR="005E214B" w:rsidRPr="009F2833" w:rsidRDefault="005E214B" w:rsidP="002B275E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（</w:t>
            </w:r>
            <w:r w:rsidR="002B275E">
              <w:rPr>
                <w:rFonts w:ascii="Times New Roman" w:hAnsi="Times New Roman" w:hint="eastAsia"/>
                <w:sz w:val="24"/>
                <w:szCs w:val="24"/>
              </w:rPr>
              <w:t>6</w:t>
            </w:r>
            <w:r w:rsidR="002B275E" w:rsidRPr="002B275E">
              <w:rPr>
                <w:rFonts w:ascii="Times New Roman" w:hAnsi="Times New Roman" w:hint="eastAsia"/>
                <w:sz w:val="24"/>
                <w:szCs w:val="24"/>
              </w:rPr>
              <w:t>0</w:t>
            </w:r>
            <w:r w:rsidRPr="009F2833">
              <w:rPr>
                <w:rFonts w:ascii="仿宋_GB2312" w:eastAsia="仿宋_GB2312" w:hint="eastAsia"/>
              </w:rPr>
              <w:t>）%</w:t>
            </w:r>
          </w:p>
        </w:tc>
      </w:tr>
      <w:tr w:rsidR="005E214B" w:rsidRPr="009F2833" w:rsidTr="00E63B91">
        <w:trPr>
          <w:trHeight w:val="562"/>
          <w:jc w:val="center"/>
        </w:trPr>
        <w:tc>
          <w:tcPr>
            <w:tcW w:w="1119" w:type="dxa"/>
            <w:gridSpan w:val="3"/>
            <w:vMerge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713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Ansi="??" w:cs="宋体" w:hint="eastAsia"/>
                <w:kern w:val="0"/>
                <w:szCs w:val="21"/>
              </w:rPr>
              <w:t>项目</w:t>
            </w:r>
          </w:p>
        </w:tc>
        <w:tc>
          <w:tcPr>
            <w:tcW w:w="985" w:type="dxa"/>
            <w:vAlign w:val="center"/>
          </w:tcPr>
          <w:p w:rsidR="005E214B" w:rsidRPr="009F2833" w:rsidRDefault="002B275E" w:rsidP="00E63B9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考勤</w:t>
            </w:r>
          </w:p>
        </w:tc>
        <w:tc>
          <w:tcPr>
            <w:tcW w:w="996" w:type="dxa"/>
            <w:vAlign w:val="center"/>
          </w:tcPr>
          <w:p w:rsidR="005E214B" w:rsidRPr="009F2833" w:rsidRDefault="002B275E" w:rsidP="002B275E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教堂</w:t>
            </w:r>
          </w:p>
        </w:tc>
        <w:tc>
          <w:tcPr>
            <w:tcW w:w="1347" w:type="dxa"/>
            <w:gridSpan w:val="2"/>
            <w:vAlign w:val="center"/>
          </w:tcPr>
          <w:p w:rsidR="005E214B" w:rsidRPr="009F2833" w:rsidRDefault="002B275E" w:rsidP="00E63B9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作业</w:t>
            </w:r>
          </w:p>
        </w:tc>
        <w:tc>
          <w:tcPr>
            <w:tcW w:w="992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45" w:type="dxa"/>
            <w:vMerge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</w:p>
        </w:tc>
      </w:tr>
      <w:tr w:rsidR="005E214B" w:rsidRPr="009F2833" w:rsidTr="002B275E">
        <w:trPr>
          <w:trHeight w:val="556"/>
          <w:jc w:val="center"/>
        </w:trPr>
        <w:tc>
          <w:tcPr>
            <w:tcW w:w="1119" w:type="dxa"/>
            <w:gridSpan w:val="3"/>
            <w:vMerge/>
            <w:vAlign w:val="center"/>
          </w:tcPr>
          <w:p w:rsidR="005E214B" w:rsidRPr="009F2833" w:rsidRDefault="005E214B" w:rsidP="00E63B91">
            <w:pPr>
              <w:rPr>
                <w:rFonts w:ascii="仿宋_GB2312" w:eastAsia="仿宋_GB2312"/>
              </w:rPr>
            </w:pPr>
          </w:p>
        </w:tc>
        <w:tc>
          <w:tcPr>
            <w:tcW w:w="713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746229">
              <w:rPr>
                <w:rFonts w:ascii="仿宋_GB2312" w:eastAsia="仿宋_GB2312" w:hAnsi="??" w:cs="宋体" w:hint="eastAsia"/>
                <w:kern w:val="0"/>
                <w:szCs w:val="21"/>
              </w:rPr>
              <w:t>权重</w:t>
            </w:r>
          </w:p>
        </w:tc>
        <w:tc>
          <w:tcPr>
            <w:tcW w:w="985" w:type="dxa"/>
            <w:vAlign w:val="center"/>
          </w:tcPr>
          <w:p w:rsidR="005E214B" w:rsidRPr="002B275E" w:rsidRDefault="002B275E" w:rsidP="002B2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</w:t>
            </w:r>
            <w:r w:rsidRPr="002B275E">
              <w:rPr>
                <w:rFonts w:ascii="Times New Roman" w:hAnsi="Times New Roman" w:hint="eastAsia"/>
                <w:sz w:val="24"/>
                <w:szCs w:val="24"/>
              </w:rPr>
              <w:t>0%</w:t>
            </w:r>
          </w:p>
        </w:tc>
        <w:tc>
          <w:tcPr>
            <w:tcW w:w="996" w:type="dxa"/>
            <w:vAlign w:val="center"/>
          </w:tcPr>
          <w:p w:rsidR="005E214B" w:rsidRPr="002B275E" w:rsidRDefault="002B275E" w:rsidP="002B2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10</w:t>
            </w:r>
            <w:r w:rsidRPr="002B275E">
              <w:rPr>
                <w:rFonts w:ascii="Times New Roman" w:hAnsi="Times New Roman" w:hint="eastAsia"/>
                <w:sz w:val="24"/>
                <w:szCs w:val="24"/>
              </w:rPr>
              <w:t>%</w:t>
            </w:r>
          </w:p>
        </w:tc>
        <w:tc>
          <w:tcPr>
            <w:tcW w:w="1347" w:type="dxa"/>
            <w:gridSpan w:val="2"/>
            <w:vAlign w:val="center"/>
          </w:tcPr>
          <w:p w:rsidR="005E214B" w:rsidRPr="002B275E" w:rsidRDefault="002B275E" w:rsidP="002B2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10</w:t>
            </w:r>
            <w:r w:rsidRPr="002B275E">
              <w:rPr>
                <w:rFonts w:ascii="Times New Roman" w:hAnsi="Times New Roman" w:hint="eastAsia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5E214B" w:rsidRPr="002B275E" w:rsidRDefault="005E214B" w:rsidP="00E63B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E214B" w:rsidRPr="009F2833" w:rsidRDefault="005E214B" w:rsidP="00E63B91">
            <w:pPr>
              <w:rPr>
                <w:rFonts w:ascii="仿宋_GB2312" w:eastAsia="仿宋_GB2312"/>
              </w:rPr>
            </w:pPr>
          </w:p>
        </w:tc>
        <w:tc>
          <w:tcPr>
            <w:tcW w:w="1345" w:type="dxa"/>
            <w:vMerge/>
            <w:vAlign w:val="center"/>
          </w:tcPr>
          <w:p w:rsidR="005E214B" w:rsidRPr="009F2833" w:rsidRDefault="005E214B" w:rsidP="00E63B91">
            <w:pPr>
              <w:rPr>
                <w:rFonts w:ascii="仿宋_GB2312" w:eastAsia="仿宋_GB2312"/>
              </w:rPr>
            </w:pPr>
          </w:p>
        </w:tc>
      </w:tr>
      <w:tr w:rsidR="005E214B" w:rsidRPr="009F2833" w:rsidTr="002B275E">
        <w:trPr>
          <w:trHeight w:val="5051"/>
          <w:jc w:val="center"/>
        </w:trPr>
        <w:tc>
          <w:tcPr>
            <w:tcW w:w="426" w:type="dxa"/>
            <w:vAlign w:val="center"/>
          </w:tcPr>
          <w:p w:rsidR="005E214B" w:rsidRPr="009F2833" w:rsidRDefault="005E214B" w:rsidP="00E63B91">
            <w:pPr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int="eastAsia"/>
              </w:rPr>
              <w:t>课程简介</w:t>
            </w:r>
          </w:p>
        </w:tc>
        <w:tc>
          <w:tcPr>
            <w:tcW w:w="8205" w:type="dxa"/>
            <w:gridSpan w:val="11"/>
            <w:vAlign w:val="center"/>
          </w:tcPr>
          <w:p w:rsidR="005E214B" w:rsidRPr="009F2833" w:rsidRDefault="005E214B" w:rsidP="00E63B91">
            <w:pPr>
              <w:rPr>
                <w:rFonts w:ascii="仿宋_GB2312" w:eastAsia="仿宋_GB2312"/>
              </w:rPr>
            </w:pPr>
          </w:p>
          <w:p w:rsidR="005E214B" w:rsidRPr="002B275E" w:rsidRDefault="002B275E" w:rsidP="002B275E">
            <w:pPr>
              <w:spacing w:line="360" w:lineRule="auto"/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  <w:r w:rsidRPr="002B275E">
              <w:rPr>
                <w:rFonts w:ascii="楷体" w:eastAsia="楷体" w:hAnsi="楷体" w:hint="eastAsia"/>
                <w:sz w:val="24"/>
                <w:szCs w:val="24"/>
              </w:rPr>
              <w:t>财务管理课程为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经济与</w:t>
            </w:r>
            <w:r w:rsidRPr="002B275E">
              <w:rPr>
                <w:rFonts w:ascii="楷体" w:eastAsia="楷体" w:hAnsi="楷体" w:hint="eastAsia"/>
                <w:sz w:val="24"/>
                <w:szCs w:val="24"/>
              </w:rPr>
              <w:t>管理专业各专业的学科基础课程之一，该课程从企业的角度分析企业筹资管理、投资管理、营运资金管理和利润分配管理的基本理论、分析方法和企业可以采取的政策。通过教学，使学生树立现代财务管理观念，掌握企业财务管理的基本理论和基本方法，并能加以熟练运用，以解决现代企业财务管理的实际问题。</w:t>
            </w:r>
          </w:p>
          <w:p w:rsidR="002B275E" w:rsidRPr="009F2833" w:rsidRDefault="002B275E" w:rsidP="00E63B91">
            <w:pPr>
              <w:rPr>
                <w:rFonts w:ascii="仿宋_GB2312" w:eastAsia="仿宋_GB2312"/>
              </w:rPr>
            </w:pPr>
          </w:p>
        </w:tc>
      </w:tr>
    </w:tbl>
    <w:p w:rsidR="005E214B" w:rsidRDefault="005E214B" w:rsidP="005E214B">
      <w:pPr>
        <w:spacing w:afterLines="50" w:after="156"/>
        <w:rPr>
          <w:rFonts w:eastAsia="黑体"/>
          <w:bCs/>
          <w:sz w:val="28"/>
          <w:szCs w:val="32"/>
        </w:rPr>
      </w:pPr>
    </w:p>
    <w:p w:rsidR="005E214B" w:rsidRDefault="005E214B" w:rsidP="005E214B">
      <w:pPr>
        <w:spacing w:afterLines="50" w:after="156"/>
        <w:rPr>
          <w:rFonts w:eastAsia="黑体"/>
          <w:bCs/>
          <w:sz w:val="28"/>
          <w:szCs w:val="32"/>
        </w:rPr>
      </w:pPr>
      <w:r w:rsidRPr="001B549F">
        <w:rPr>
          <w:rFonts w:eastAsia="黑体" w:hint="eastAsia"/>
          <w:bCs/>
          <w:sz w:val="28"/>
          <w:szCs w:val="32"/>
        </w:rPr>
        <w:lastRenderedPageBreak/>
        <w:t>二、课程教学内容、教学要求及学时安排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03"/>
        <w:gridCol w:w="1043"/>
        <w:gridCol w:w="649"/>
        <w:gridCol w:w="3055"/>
        <w:gridCol w:w="447"/>
        <w:gridCol w:w="454"/>
        <w:gridCol w:w="479"/>
        <w:gridCol w:w="447"/>
        <w:gridCol w:w="447"/>
        <w:gridCol w:w="552"/>
      </w:tblGrid>
      <w:tr w:rsidR="005E214B" w:rsidRPr="009F2833" w:rsidTr="003002D3">
        <w:trPr>
          <w:jc w:val="center"/>
        </w:trPr>
        <w:tc>
          <w:tcPr>
            <w:tcW w:w="703" w:type="dxa"/>
            <w:vMerge w:val="restart"/>
            <w:vAlign w:val="center"/>
          </w:tcPr>
          <w:p w:rsidR="005E214B" w:rsidRPr="009F2833" w:rsidRDefault="005E214B" w:rsidP="00E63B91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9F2833">
              <w:rPr>
                <w:rFonts w:ascii="黑体" w:eastAsia="黑体" w:hAnsi="黑体" w:hint="eastAsia"/>
                <w:bCs/>
                <w:szCs w:val="21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5E214B" w:rsidRPr="00746229" w:rsidRDefault="005E214B" w:rsidP="00E63B91">
            <w:pPr>
              <w:jc w:val="center"/>
              <w:rPr>
                <w:rFonts w:ascii="黑体" w:eastAsia="黑体" w:hAnsi="黑体" w:cs="宋体"/>
                <w:color w:val="FF0000"/>
                <w:kern w:val="0"/>
                <w:szCs w:val="21"/>
              </w:rPr>
            </w:pPr>
            <w:r w:rsidRPr="009F2833">
              <w:rPr>
                <w:rFonts w:ascii="黑体" w:eastAsia="黑体" w:hAnsi="黑体" w:hint="eastAsia"/>
                <w:bCs/>
                <w:szCs w:val="21"/>
              </w:rPr>
              <w:t>内容名称</w:t>
            </w:r>
          </w:p>
        </w:tc>
        <w:tc>
          <w:tcPr>
            <w:tcW w:w="3704" w:type="dxa"/>
            <w:gridSpan w:val="2"/>
            <w:vMerge w:val="restart"/>
            <w:vAlign w:val="center"/>
          </w:tcPr>
          <w:p w:rsidR="005E214B" w:rsidRPr="00746229" w:rsidRDefault="005E214B" w:rsidP="00E63B91">
            <w:pPr>
              <w:jc w:val="center"/>
              <w:rPr>
                <w:rFonts w:ascii="黑体" w:eastAsia="黑体" w:hAnsi="黑体" w:cs="宋体"/>
                <w:color w:val="FF0000"/>
                <w:kern w:val="0"/>
                <w:szCs w:val="21"/>
              </w:rPr>
            </w:pPr>
            <w:r w:rsidRPr="009F2833">
              <w:rPr>
                <w:rFonts w:ascii="黑体" w:eastAsia="黑体" w:hAnsi="黑体" w:hint="eastAsia"/>
                <w:bCs/>
                <w:szCs w:val="21"/>
              </w:rPr>
              <w:t>教学内容与教学要求</w:t>
            </w:r>
          </w:p>
        </w:tc>
        <w:tc>
          <w:tcPr>
            <w:tcW w:w="2274" w:type="dxa"/>
            <w:gridSpan w:val="5"/>
            <w:vAlign w:val="center"/>
          </w:tcPr>
          <w:p w:rsidR="005E214B" w:rsidRPr="009F2833" w:rsidRDefault="005E214B" w:rsidP="00E63B91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9F2833">
              <w:rPr>
                <w:rFonts w:ascii="黑体" w:eastAsia="黑体" w:hAnsi="黑体" w:hint="eastAsia"/>
                <w:bCs/>
                <w:szCs w:val="21"/>
              </w:rPr>
              <w:t>学时安排</w:t>
            </w:r>
          </w:p>
        </w:tc>
        <w:tc>
          <w:tcPr>
            <w:tcW w:w="552" w:type="dxa"/>
            <w:vMerge w:val="restart"/>
            <w:vAlign w:val="center"/>
          </w:tcPr>
          <w:p w:rsidR="005E214B" w:rsidRPr="009F2833" w:rsidRDefault="005E214B" w:rsidP="00E63B91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9F2833">
              <w:rPr>
                <w:rFonts w:ascii="黑体" w:eastAsia="黑体" w:hAnsi="黑体" w:hint="eastAsia"/>
                <w:bCs/>
                <w:szCs w:val="21"/>
              </w:rPr>
              <w:t>备注</w:t>
            </w:r>
          </w:p>
        </w:tc>
      </w:tr>
      <w:tr w:rsidR="005E214B" w:rsidRPr="009F2833" w:rsidTr="003002D3">
        <w:trPr>
          <w:jc w:val="center"/>
        </w:trPr>
        <w:tc>
          <w:tcPr>
            <w:tcW w:w="703" w:type="dxa"/>
            <w:vMerge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43" w:type="dxa"/>
            <w:vMerge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3704" w:type="dxa"/>
            <w:gridSpan w:val="2"/>
            <w:vMerge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7" w:type="dxa"/>
            <w:vMerge w:val="restart"/>
            <w:vAlign w:val="center"/>
          </w:tcPr>
          <w:p w:rsidR="005E214B" w:rsidRPr="009F2833" w:rsidRDefault="005E214B" w:rsidP="00E63B91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9F2833">
              <w:rPr>
                <w:rFonts w:ascii="黑体" w:eastAsia="黑体" w:hAnsi="黑体" w:hint="eastAsia"/>
                <w:bCs/>
                <w:szCs w:val="21"/>
              </w:rPr>
              <w:t>总学时</w:t>
            </w:r>
          </w:p>
        </w:tc>
        <w:tc>
          <w:tcPr>
            <w:tcW w:w="1827" w:type="dxa"/>
            <w:gridSpan w:val="4"/>
            <w:vAlign w:val="center"/>
          </w:tcPr>
          <w:p w:rsidR="005E214B" w:rsidRPr="009F2833" w:rsidRDefault="005E214B" w:rsidP="00E63B91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9F2833">
              <w:rPr>
                <w:rFonts w:ascii="黑体" w:eastAsia="黑体" w:hAnsi="黑体" w:hint="eastAsia"/>
                <w:bCs/>
                <w:szCs w:val="21"/>
              </w:rPr>
              <w:t>其中</w:t>
            </w:r>
          </w:p>
        </w:tc>
        <w:tc>
          <w:tcPr>
            <w:tcW w:w="552" w:type="dxa"/>
            <w:vMerge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5E214B" w:rsidRPr="009F2833" w:rsidTr="003002D3">
        <w:trPr>
          <w:jc w:val="center"/>
        </w:trPr>
        <w:tc>
          <w:tcPr>
            <w:tcW w:w="703" w:type="dxa"/>
            <w:vMerge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1043" w:type="dxa"/>
            <w:vMerge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3704" w:type="dxa"/>
            <w:gridSpan w:val="2"/>
            <w:vMerge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5E214B" w:rsidRPr="009F2833" w:rsidRDefault="005E214B" w:rsidP="00E63B91">
            <w:pPr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454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9F2833">
              <w:rPr>
                <w:rFonts w:ascii="黑体" w:eastAsia="黑体" w:hAnsi="黑体" w:hint="eastAsia"/>
                <w:bCs/>
                <w:szCs w:val="21"/>
              </w:rPr>
              <w:t>讲授</w:t>
            </w:r>
          </w:p>
        </w:tc>
        <w:tc>
          <w:tcPr>
            <w:tcW w:w="479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9F2833">
              <w:rPr>
                <w:rFonts w:ascii="黑体" w:eastAsia="黑体" w:hAnsi="黑体" w:hint="eastAsia"/>
                <w:bCs/>
                <w:szCs w:val="21"/>
              </w:rPr>
              <w:t>实验</w:t>
            </w:r>
          </w:p>
        </w:tc>
        <w:tc>
          <w:tcPr>
            <w:tcW w:w="447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9F2833">
              <w:rPr>
                <w:rFonts w:ascii="黑体" w:eastAsia="黑体" w:hAnsi="黑体" w:hint="eastAsia"/>
                <w:bCs/>
                <w:szCs w:val="21"/>
              </w:rPr>
              <w:t>上机</w:t>
            </w:r>
          </w:p>
        </w:tc>
        <w:tc>
          <w:tcPr>
            <w:tcW w:w="447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9F2833">
              <w:rPr>
                <w:rFonts w:ascii="黑体" w:eastAsia="黑体" w:hAnsi="黑体" w:hint="eastAsia"/>
                <w:bCs/>
                <w:szCs w:val="21"/>
              </w:rPr>
              <w:t>其它</w:t>
            </w:r>
          </w:p>
        </w:tc>
        <w:tc>
          <w:tcPr>
            <w:tcW w:w="552" w:type="dxa"/>
            <w:vMerge/>
            <w:vAlign w:val="center"/>
          </w:tcPr>
          <w:p w:rsidR="005E214B" w:rsidRPr="009F2833" w:rsidRDefault="005E214B" w:rsidP="00E63B91">
            <w:pPr>
              <w:rPr>
                <w:rFonts w:ascii="仿宋_GB2312" w:eastAsia="仿宋_GB2312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 w:val="restart"/>
            <w:vAlign w:val="center"/>
          </w:tcPr>
          <w:p w:rsidR="008B3E77" w:rsidRPr="008B3E77" w:rsidRDefault="008B3E77" w:rsidP="00E63B91">
            <w:pPr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1</w:t>
            </w:r>
          </w:p>
        </w:tc>
        <w:tc>
          <w:tcPr>
            <w:tcW w:w="1043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概论</w:t>
            </w:r>
          </w:p>
        </w:tc>
        <w:tc>
          <w:tcPr>
            <w:tcW w:w="649" w:type="dxa"/>
            <w:vAlign w:val="center"/>
          </w:tcPr>
          <w:p w:rsidR="008B3E77" w:rsidRPr="008B3E77" w:rsidRDefault="008B3E77" w:rsidP="00E63B91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教学</w:t>
            </w:r>
          </w:p>
          <w:p w:rsidR="008B3E77" w:rsidRPr="008B3E77" w:rsidRDefault="008B3E77" w:rsidP="00E63B91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内容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1.</w:t>
            </w:r>
            <w:r w:rsidRPr="008B3E77">
              <w:rPr>
                <w:rFonts w:ascii="Times New Roman" w:eastAsia="楷体" w:hAnsi="Times New Roman" w:hint="eastAsia"/>
              </w:rPr>
              <w:t>财务管理概念与目标：财务活动，资金运动所体现的财务关系，财务的本质及财务管理概念，财务管理的内容和特点，财务管理目标（利润最大化、资本利润率最大化或每股利润最大化、企业价值最大化或股东财富最大化）。</w:t>
            </w:r>
          </w:p>
          <w:p w:rsidR="008B3E77" w:rsidRPr="008B3E77" w:rsidRDefault="008B3E77" w:rsidP="00672C96">
            <w:pPr>
              <w:rPr>
                <w:rFonts w:ascii="Times New Roman" w:eastAsia="楷体" w:hAnsi="Times New Roman" w:hint="eastAsia"/>
              </w:rPr>
            </w:pPr>
            <w:r w:rsidRPr="008B3E77">
              <w:rPr>
                <w:rFonts w:ascii="Times New Roman" w:eastAsia="楷体" w:hAnsi="Times New Roman" w:hint="eastAsia"/>
              </w:rPr>
              <w:t>2.</w:t>
            </w:r>
            <w:r w:rsidRPr="008B3E77">
              <w:rPr>
                <w:rFonts w:ascii="Times New Roman" w:eastAsia="楷体" w:hAnsi="Times New Roman" w:hint="eastAsia"/>
              </w:rPr>
              <w:t>财务管理环境：经济环境，法律环境，金融市场环境。</w:t>
            </w: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672C96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/>
                <w:bCs/>
                <w:szCs w:val="21"/>
              </w:rPr>
              <w:t>2</w:t>
            </w:r>
          </w:p>
        </w:tc>
        <w:tc>
          <w:tcPr>
            <w:tcW w:w="454" w:type="dxa"/>
            <w:vMerge w:val="restart"/>
            <w:vAlign w:val="center"/>
          </w:tcPr>
          <w:p w:rsidR="008B3E77" w:rsidRPr="008B3E77" w:rsidRDefault="00672C96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/>
                <w:bCs/>
                <w:szCs w:val="21"/>
              </w:rPr>
              <w:t>2</w:t>
            </w:r>
          </w:p>
        </w:tc>
        <w:tc>
          <w:tcPr>
            <w:tcW w:w="479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104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649" w:type="dxa"/>
            <w:vAlign w:val="center"/>
          </w:tcPr>
          <w:p w:rsidR="008B3E77" w:rsidRPr="008B3E77" w:rsidRDefault="008B3E77" w:rsidP="00E63B91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教学</w:t>
            </w:r>
          </w:p>
          <w:p w:rsidR="008B3E77" w:rsidRPr="008B3E77" w:rsidRDefault="008B3E77" w:rsidP="00E63B91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要求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了解财务管理</w:t>
            </w:r>
            <w:r w:rsidR="00672C96" w:rsidRPr="008B3E77">
              <w:rPr>
                <w:rFonts w:ascii="Times New Roman" w:eastAsia="楷体" w:hAnsi="Times New Roman" w:hint="eastAsia"/>
              </w:rPr>
              <w:t>环境</w:t>
            </w:r>
            <w:r w:rsidRPr="008B3E77">
              <w:rPr>
                <w:rFonts w:ascii="Times New Roman" w:eastAsia="楷体" w:hAnsi="Times New Roman" w:hint="eastAsia"/>
              </w:rPr>
              <w:t>；理解</w:t>
            </w:r>
            <w:r w:rsidR="00672C96" w:rsidRPr="008B3E77">
              <w:rPr>
                <w:rFonts w:ascii="Times New Roman" w:eastAsia="楷体" w:hAnsi="Times New Roman" w:hint="eastAsia"/>
              </w:rPr>
              <w:t>财务管理目标的不同观点及评价</w:t>
            </w:r>
            <w:r w:rsidRPr="008B3E77">
              <w:rPr>
                <w:rFonts w:ascii="Times New Roman" w:eastAsia="楷体" w:hAnsi="Times New Roman" w:hint="eastAsia"/>
              </w:rPr>
              <w:t>；掌握</w:t>
            </w:r>
            <w:r w:rsidR="00672C96" w:rsidRPr="008B3E77">
              <w:rPr>
                <w:rFonts w:ascii="Times New Roman" w:eastAsia="楷体" w:hAnsi="Times New Roman" w:hint="eastAsia"/>
              </w:rPr>
              <w:t>企业财务</w:t>
            </w:r>
            <w:r w:rsidR="00672C96">
              <w:rPr>
                <w:rFonts w:ascii="Times New Roman" w:eastAsia="楷体" w:hAnsi="Times New Roman" w:hint="eastAsia"/>
              </w:rPr>
              <w:t>活动与财务关系</w:t>
            </w:r>
            <w:r w:rsidRPr="008B3E77">
              <w:rPr>
                <w:rFonts w:ascii="Times New Roman" w:eastAsia="楷体" w:hAnsi="Times New Roman" w:hint="eastAsia"/>
              </w:rPr>
              <w:t>。</w:t>
            </w: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54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104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649" w:type="dxa"/>
            <w:vAlign w:val="center"/>
          </w:tcPr>
          <w:p w:rsidR="008B3E77" w:rsidRPr="008B3E77" w:rsidRDefault="008B3E77" w:rsidP="00E63B91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重点</w:t>
            </w:r>
          </w:p>
          <w:p w:rsidR="008B3E77" w:rsidRPr="008B3E77" w:rsidRDefault="008B3E77" w:rsidP="00E63B91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难点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课程的重点：财务关系、财务管理的内容。</w:t>
            </w:r>
          </w:p>
          <w:p w:rsidR="008B3E77" w:rsidRPr="008B3E77" w:rsidRDefault="008B3E77" w:rsidP="00E63B91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课程的难点：财务关系</w:t>
            </w:r>
            <w:r w:rsidR="00672C96">
              <w:rPr>
                <w:rFonts w:ascii="Times New Roman" w:eastAsia="楷体" w:hAnsi="Times New Roman" w:hint="eastAsia"/>
              </w:rPr>
              <w:t>的掌握</w:t>
            </w:r>
            <w:r w:rsidRPr="008B3E77">
              <w:rPr>
                <w:rFonts w:ascii="Times New Roman" w:eastAsia="楷体" w:hAnsi="Times New Roman" w:hint="eastAsia"/>
              </w:rPr>
              <w:t>。</w:t>
            </w: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54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2</w:t>
            </w:r>
          </w:p>
        </w:tc>
        <w:tc>
          <w:tcPr>
            <w:tcW w:w="1043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财务管理的价值观念</w:t>
            </w: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教学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内容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1.</w:t>
            </w:r>
            <w:r w:rsidRPr="008B3E77">
              <w:rPr>
                <w:rFonts w:ascii="Times New Roman" w:eastAsia="楷体" w:hAnsi="Times New Roman" w:hint="eastAsia"/>
              </w:rPr>
              <w:t>时间价值：时间价值的概念，时间价值的计算及其应用。</w:t>
            </w:r>
          </w:p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2.</w:t>
            </w:r>
            <w:r w:rsidRPr="008B3E77">
              <w:rPr>
                <w:rFonts w:ascii="Times New Roman" w:eastAsia="楷体" w:hAnsi="Times New Roman" w:hint="eastAsia"/>
              </w:rPr>
              <w:t>风险价值：风险价值的概念及计算，单项资产的投资风险价值，投资组合的投资风险价值。</w:t>
            </w:r>
          </w:p>
          <w:p w:rsidR="008B3E77" w:rsidRPr="008B3E77" w:rsidRDefault="008B3E77" w:rsidP="00E63B91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3.</w:t>
            </w:r>
            <w:r w:rsidRPr="008B3E77">
              <w:rPr>
                <w:rFonts w:ascii="Times New Roman" w:eastAsia="楷体" w:hAnsi="Times New Roman" w:hint="eastAsia"/>
              </w:rPr>
              <w:t>利息率：利息率的概念与种类，决定利息率水平的基本因素，利息率的构成。</w:t>
            </w: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3002D3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/>
                <w:bCs/>
                <w:szCs w:val="21"/>
              </w:rPr>
              <w:t>6</w:t>
            </w:r>
          </w:p>
        </w:tc>
        <w:tc>
          <w:tcPr>
            <w:tcW w:w="454" w:type="dxa"/>
            <w:vMerge w:val="restart"/>
            <w:vAlign w:val="center"/>
          </w:tcPr>
          <w:p w:rsidR="008B3E77" w:rsidRPr="008B3E77" w:rsidRDefault="003002D3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/>
                <w:bCs/>
                <w:szCs w:val="21"/>
              </w:rPr>
              <w:t>6</w:t>
            </w:r>
          </w:p>
        </w:tc>
        <w:tc>
          <w:tcPr>
            <w:tcW w:w="479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104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教学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要求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了解利息率的分类；理解利息率的构成；掌握资金时间价值的概念及计算；掌握投资风险价值的计算；掌握影响利率的主要因素。</w:t>
            </w: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54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104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重点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难点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课程的重点：时间价值及风险价值计算。</w:t>
            </w:r>
          </w:p>
          <w:p w:rsidR="008B3E77" w:rsidRPr="008B3E77" w:rsidRDefault="008B3E77" w:rsidP="00E63B91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课程的难点：时间价值及风险价值计算。</w:t>
            </w: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54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3</w:t>
            </w:r>
          </w:p>
        </w:tc>
        <w:tc>
          <w:tcPr>
            <w:tcW w:w="1043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筹资管理</w:t>
            </w: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教学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内容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1.</w:t>
            </w:r>
            <w:r w:rsidRPr="008B3E77">
              <w:rPr>
                <w:rFonts w:ascii="Times New Roman" w:eastAsia="楷体" w:hAnsi="Times New Roman" w:hint="eastAsia"/>
              </w:rPr>
              <w:t>筹资概述：企业筹资的动机和要求，企业筹资的渠道与方式，企业筹资的类型（自有资金与借入资金、长期资金与短期资金、</w:t>
            </w:r>
            <w:r w:rsidRPr="008B3E77">
              <w:rPr>
                <w:rFonts w:ascii="Times New Roman" w:eastAsia="楷体" w:hAnsi="Times New Roman" w:hint="eastAsia"/>
              </w:rPr>
              <w:lastRenderedPageBreak/>
              <w:t>内部筹资与外部筹资、直接筹资与间接筹资），资金需要量预测方法（销售百分比法、线性回归分析法）。</w:t>
            </w:r>
          </w:p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2.</w:t>
            </w:r>
            <w:r w:rsidRPr="008B3E77">
              <w:rPr>
                <w:rFonts w:ascii="Times New Roman" w:eastAsia="楷体" w:hAnsi="Times New Roman" w:hint="eastAsia"/>
              </w:rPr>
              <w:t>长期筹资方式：</w:t>
            </w:r>
            <w:r w:rsidRPr="008B3E77">
              <w:rPr>
                <w:rFonts w:ascii="Times New Roman" w:eastAsia="楷体" w:hAnsi="Times New Roman"/>
              </w:rPr>
              <w:t>权益资</w:t>
            </w:r>
            <w:r w:rsidRPr="008B3E77">
              <w:rPr>
                <w:rFonts w:ascii="Times New Roman" w:eastAsia="楷体" w:hAnsi="Times New Roman" w:hint="eastAsia"/>
              </w:rPr>
              <w:t>金</w:t>
            </w:r>
            <w:r w:rsidRPr="008B3E77">
              <w:rPr>
                <w:rFonts w:ascii="Times New Roman" w:eastAsia="楷体" w:hAnsi="Times New Roman"/>
              </w:rPr>
              <w:t>筹</w:t>
            </w:r>
            <w:r w:rsidRPr="008B3E77">
              <w:rPr>
                <w:rFonts w:ascii="Times New Roman" w:eastAsia="楷体" w:hAnsi="Times New Roman" w:hint="eastAsia"/>
              </w:rPr>
              <w:t>资（吸收直接投资、发行普通股、发行优先股），债务</w:t>
            </w:r>
            <w:r w:rsidRPr="008B3E77">
              <w:rPr>
                <w:rFonts w:ascii="Times New Roman" w:eastAsia="楷体" w:hAnsi="Times New Roman"/>
              </w:rPr>
              <w:t>资金筹集</w:t>
            </w:r>
            <w:r w:rsidRPr="008B3E77">
              <w:rPr>
                <w:rFonts w:ascii="Times New Roman" w:eastAsia="楷体" w:hAnsi="Times New Roman" w:hint="eastAsia"/>
              </w:rPr>
              <w:t>（短期借入资金筹集、长期借款、发行债券、租赁筹资），</w:t>
            </w:r>
            <w:r w:rsidRPr="008B3E77">
              <w:rPr>
                <w:rFonts w:ascii="Times New Roman" w:eastAsia="楷体" w:hAnsi="Times New Roman"/>
              </w:rPr>
              <w:t>混合性筹资</w:t>
            </w:r>
            <w:r w:rsidRPr="008B3E77">
              <w:rPr>
                <w:rFonts w:ascii="Times New Roman" w:eastAsia="楷体" w:hAnsi="Times New Roman" w:hint="eastAsia"/>
              </w:rPr>
              <w:t>。</w:t>
            </w:r>
          </w:p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3.</w:t>
            </w:r>
            <w:r w:rsidRPr="008B3E77">
              <w:rPr>
                <w:rFonts w:ascii="Times New Roman" w:eastAsia="楷体" w:hAnsi="Times New Roman" w:hint="eastAsia"/>
              </w:rPr>
              <w:t>资本结构决策：资本成本（资本成本的意义、个别资本成本、综合资本成本、边际成本的计算及分析），杠杆收益与风险（营业杠杆、财务杠杆、联合杠杆的计算及应用），资本结构决策方法。</w:t>
            </w:r>
          </w:p>
          <w:p w:rsidR="008B3E77" w:rsidRPr="008B3E77" w:rsidRDefault="008B3E77" w:rsidP="00011EEA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课程的重点：筹资的渠道与方法、筹资的类型、资本成本的概念和计算、杠杆收益的计算、应用以及资本结构决策方法。</w:t>
            </w: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3002D3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/>
                <w:bCs/>
                <w:szCs w:val="21"/>
              </w:rPr>
              <w:lastRenderedPageBreak/>
              <w:t>8</w:t>
            </w:r>
          </w:p>
        </w:tc>
        <w:tc>
          <w:tcPr>
            <w:tcW w:w="454" w:type="dxa"/>
            <w:vMerge w:val="restart"/>
            <w:vAlign w:val="center"/>
          </w:tcPr>
          <w:p w:rsidR="008B3E77" w:rsidRPr="008B3E77" w:rsidRDefault="003002D3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/>
                <w:bCs/>
                <w:szCs w:val="21"/>
              </w:rPr>
              <w:t>8</w:t>
            </w:r>
          </w:p>
        </w:tc>
        <w:tc>
          <w:tcPr>
            <w:tcW w:w="479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104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教学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要求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了解资金需要量的预测方式；理解企业筹资的渠道与方式；理解长期筹资方式的种类及其优缺点；掌握资本成本的概念和计算；掌握经营杠杆、财务杠杆、总杠杆的确定方法；掌握资本结构与资本成本的关系；掌握资本结构决策方法及影响因素。</w:t>
            </w: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54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104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重点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难点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课程的重点：筹资的渠道与方法、筹资的类型、资本成本的概念和计算、杠杆收益的计算、应用以及资本结构决策方法。</w:t>
            </w:r>
          </w:p>
          <w:p w:rsidR="008B3E77" w:rsidRPr="008B3E77" w:rsidRDefault="008B3E77" w:rsidP="00E63B91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课程的难点：杠杆收益的计算与应用、资本结构决策方法。</w:t>
            </w: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54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4</w:t>
            </w:r>
          </w:p>
        </w:tc>
        <w:tc>
          <w:tcPr>
            <w:tcW w:w="1043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投资管理</w:t>
            </w: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教学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内容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1.</w:t>
            </w:r>
            <w:r w:rsidRPr="008B3E77">
              <w:rPr>
                <w:rFonts w:ascii="Times New Roman" w:eastAsia="楷体" w:hAnsi="Times New Roman" w:hint="eastAsia"/>
              </w:rPr>
              <w:t>投资概述：投资的意义、分类、原则，投资环境分析，投资额预测。</w:t>
            </w:r>
          </w:p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2.</w:t>
            </w:r>
            <w:r w:rsidRPr="008B3E77">
              <w:rPr>
                <w:rFonts w:ascii="Times New Roman" w:eastAsia="楷体" w:hAnsi="Times New Roman" w:hint="eastAsia"/>
              </w:rPr>
              <w:t>固定资产投资决策：固定资产投资概述，投资决策指标，投资决策指标的应用。</w:t>
            </w:r>
          </w:p>
          <w:p w:rsidR="008B3E77" w:rsidRPr="008B3E77" w:rsidRDefault="008B3E77" w:rsidP="00E63B91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3.</w:t>
            </w:r>
            <w:r w:rsidRPr="008B3E77">
              <w:rPr>
                <w:rFonts w:ascii="Times New Roman" w:eastAsia="楷体" w:hAnsi="Times New Roman" w:hint="eastAsia"/>
              </w:rPr>
              <w:t>证券投资评价：证券的种类及其投资目的，债券投资评价，股票投资评价。</w:t>
            </w: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672C96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 w:hint="eastAsia"/>
                <w:bCs/>
                <w:szCs w:val="21"/>
              </w:rPr>
              <w:t>6</w:t>
            </w:r>
          </w:p>
        </w:tc>
        <w:tc>
          <w:tcPr>
            <w:tcW w:w="454" w:type="dxa"/>
            <w:vMerge w:val="restart"/>
            <w:vAlign w:val="center"/>
          </w:tcPr>
          <w:p w:rsidR="008B3E77" w:rsidRPr="008B3E77" w:rsidRDefault="00672C96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 w:hint="eastAsia"/>
                <w:bCs/>
                <w:szCs w:val="21"/>
              </w:rPr>
              <w:t>6</w:t>
            </w:r>
          </w:p>
        </w:tc>
        <w:tc>
          <w:tcPr>
            <w:tcW w:w="479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104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教学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要求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了解投资的分类；了解投资环境的分析方法；了解投资额的预测方法；理解证券投资组合的方法；掌握投资决策指标的种类及其应用；掌握债券、股票、基金价值的估算。</w:t>
            </w: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54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104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重点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难点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课程的重点：现金流量及其计算、投资决策指标、债券投资评价和股票投资评价。</w:t>
            </w:r>
          </w:p>
          <w:p w:rsidR="008B3E77" w:rsidRPr="008B3E77" w:rsidRDefault="008B3E77" w:rsidP="00011EEA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课程的难点：投资决策指标及其应用。</w:t>
            </w: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54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5</w:t>
            </w:r>
          </w:p>
        </w:tc>
        <w:tc>
          <w:tcPr>
            <w:tcW w:w="1043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营运资金管理</w:t>
            </w: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教学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内容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1.</w:t>
            </w:r>
            <w:r w:rsidRPr="008B3E77">
              <w:rPr>
                <w:rFonts w:ascii="Times New Roman" w:eastAsia="楷体" w:hAnsi="Times New Roman" w:hint="eastAsia"/>
              </w:rPr>
              <w:t>营运资金概述：营运资金的含义，营运资金的特点，营运资金管理策略。</w:t>
            </w:r>
          </w:p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2.</w:t>
            </w:r>
            <w:r w:rsidRPr="008B3E77">
              <w:rPr>
                <w:rFonts w:ascii="Times New Roman" w:eastAsia="楷体" w:hAnsi="Times New Roman" w:hint="eastAsia"/>
              </w:rPr>
              <w:t>现金管理：现金管理的目的与内容，现金收支计划的编制，最佳现金持有量的确定方法（现金周转模式、存货模式、因素分析模式），现金的日常控制。</w:t>
            </w:r>
          </w:p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3.</w:t>
            </w:r>
            <w:r w:rsidRPr="008B3E77">
              <w:rPr>
                <w:rFonts w:ascii="Times New Roman" w:eastAsia="楷体" w:hAnsi="Times New Roman" w:hint="eastAsia"/>
              </w:rPr>
              <w:t>应收账款管理：应收账款的功能与成本，应收账款政策的制定，应收账款的日常控制。</w:t>
            </w:r>
          </w:p>
          <w:p w:rsidR="008B3E77" w:rsidRPr="008B3E77" w:rsidRDefault="008B3E77" w:rsidP="00011EEA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4.</w:t>
            </w:r>
            <w:r w:rsidRPr="008B3E77">
              <w:rPr>
                <w:rFonts w:ascii="Times New Roman" w:eastAsia="楷体" w:hAnsi="Times New Roman" w:hint="eastAsia"/>
              </w:rPr>
              <w:t>存货管理：存货的功能与成本，存货资金占用额的确定方法，存货的日常控制。</w:t>
            </w: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672C96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 w:hint="eastAsia"/>
                <w:bCs/>
                <w:szCs w:val="21"/>
              </w:rPr>
              <w:t>6</w:t>
            </w:r>
          </w:p>
        </w:tc>
        <w:tc>
          <w:tcPr>
            <w:tcW w:w="454" w:type="dxa"/>
            <w:vMerge w:val="restart"/>
            <w:vAlign w:val="center"/>
          </w:tcPr>
          <w:p w:rsidR="008B3E77" w:rsidRPr="008B3E77" w:rsidRDefault="00672C96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 w:hint="eastAsia"/>
                <w:bCs/>
                <w:szCs w:val="21"/>
              </w:rPr>
              <w:t>6</w:t>
            </w:r>
          </w:p>
        </w:tc>
        <w:tc>
          <w:tcPr>
            <w:tcW w:w="479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104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教学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要求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了解现金流量日常管理的方法；了解应收账款信用管理的方法；了解短期银行借款，商业信用，短期融资证券的成本构成与风险；理解营运资金特点及营运资金管理策略；理解和掌握企业信用政策的分析与决策方法；掌握最佳现金持有量的确定方法；掌握应收账款成本的构成及其计算；掌握存货资金定额的测算；掌握存货的控制方法。</w:t>
            </w: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54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104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重点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难点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课程的重点：现金、应收账款及存货的成本、最佳现金持有量的确定、应收账款政策的制定、存货的控制。</w:t>
            </w:r>
          </w:p>
          <w:p w:rsidR="008B3E77" w:rsidRPr="008B3E77" w:rsidRDefault="008B3E77" w:rsidP="00011EEA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课程的难点：应收账款政策的制定、最佳现金持有量的确定、存货控制中的</w:t>
            </w:r>
            <w:proofErr w:type="gramStart"/>
            <w:r w:rsidRPr="008B3E77">
              <w:rPr>
                <w:rFonts w:ascii="Times New Roman" w:eastAsia="楷体" w:hAnsi="Times New Roman" w:hint="eastAsia"/>
              </w:rPr>
              <w:t>带数量</w:t>
            </w:r>
            <w:proofErr w:type="gramEnd"/>
            <w:r w:rsidRPr="008B3E77">
              <w:rPr>
                <w:rFonts w:ascii="Times New Roman" w:eastAsia="楷体" w:hAnsi="Times New Roman" w:hint="eastAsia"/>
              </w:rPr>
              <w:t>折扣的经济批量模型。</w:t>
            </w: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54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lastRenderedPageBreak/>
              <w:t>6</w:t>
            </w:r>
          </w:p>
        </w:tc>
        <w:tc>
          <w:tcPr>
            <w:tcW w:w="1043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收益及分配管理</w:t>
            </w: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教学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内容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1.</w:t>
            </w:r>
            <w:r w:rsidRPr="008B3E77">
              <w:rPr>
                <w:rFonts w:ascii="Times New Roman" w:eastAsia="楷体" w:hAnsi="Times New Roman" w:hint="eastAsia"/>
              </w:rPr>
              <w:t>收益概述：营业收入，商品价格，营业收入预测与计划，利润的形成，利润的预测与计划，</w:t>
            </w:r>
          </w:p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企业所得税。</w:t>
            </w:r>
          </w:p>
          <w:p w:rsidR="008B3E77" w:rsidRPr="008B3E77" w:rsidRDefault="008B3E77" w:rsidP="00011EEA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2.</w:t>
            </w:r>
            <w:r w:rsidRPr="008B3E77">
              <w:rPr>
                <w:rFonts w:ascii="Times New Roman" w:eastAsia="楷体" w:hAnsi="Times New Roman" w:hint="eastAsia"/>
              </w:rPr>
              <w:t>利润分配的原则与程序：利润分配的原则，利润分配的程序。</w:t>
            </w:r>
          </w:p>
          <w:p w:rsidR="008B3E77" w:rsidRPr="008B3E77" w:rsidRDefault="008B3E77" w:rsidP="00011EEA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3.</w:t>
            </w:r>
            <w:r w:rsidRPr="008B3E77">
              <w:rPr>
                <w:rFonts w:ascii="Times New Roman" w:eastAsia="楷体" w:hAnsi="Times New Roman" w:hint="eastAsia"/>
              </w:rPr>
              <w:t>股利政策：影响企业股利政策的因素，股利理论，股利政策的实施，股利的种类及发放程序。</w:t>
            </w: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672C96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 w:hint="eastAsia"/>
                <w:bCs/>
                <w:szCs w:val="21"/>
              </w:rPr>
              <w:t>2</w:t>
            </w:r>
          </w:p>
        </w:tc>
        <w:tc>
          <w:tcPr>
            <w:tcW w:w="454" w:type="dxa"/>
            <w:vMerge w:val="restart"/>
            <w:vAlign w:val="center"/>
          </w:tcPr>
          <w:p w:rsidR="008B3E77" w:rsidRPr="008B3E77" w:rsidRDefault="00672C96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 w:hint="eastAsia"/>
                <w:bCs/>
                <w:szCs w:val="21"/>
              </w:rPr>
              <w:t>2</w:t>
            </w:r>
          </w:p>
        </w:tc>
        <w:tc>
          <w:tcPr>
            <w:tcW w:w="479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 w:val="restart"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104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教学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要求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011EEA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了解西方股利理论；理解利润的分配程序；掌握利润的预测方法；掌握股利政策的种类及影响因素；掌握股票股利、股票分割与股票回购的区别及对公司资本结构的影响。</w:t>
            </w: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54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8B3E77" w:rsidRPr="008B3E77" w:rsidTr="00672C96">
        <w:trPr>
          <w:jc w:val="center"/>
        </w:trPr>
        <w:tc>
          <w:tcPr>
            <w:tcW w:w="70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1043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649" w:type="dxa"/>
            <w:vAlign w:val="center"/>
          </w:tcPr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重点</w:t>
            </w:r>
          </w:p>
          <w:p w:rsidR="008B3E77" w:rsidRPr="008B3E77" w:rsidRDefault="008B3E77" w:rsidP="00EA0EA9">
            <w:pPr>
              <w:spacing w:line="0" w:lineRule="atLeast"/>
              <w:jc w:val="center"/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  <w:bCs/>
                <w:szCs w:val="21"/>
              </w:rPr>
              <w:t>难点</w:t>
            </w:r>
          </w:p>
        </w:tc>
        <w:tc>
          <w:tcPr>
            <w:tcW w:w="3055" w:type="dxa"/>
            <w:vAlign w:val="center"/>
          </w:tcPr>
          <w:p w:rsidR="008B3E77" w:rsidRPr="008B3E77" w:rsidRDefault="008B3E77" w:rsidP="00EB7125">
            <w:pPr>
              <w:rPr>
                <w:rFonts w:ascii="Times New Roman" w:eastAsia="楷体" w:hAnsi="Times New Roman"/>
              </w:rPr>
            </w:pPr>
            <w:r w:rsidRPr="008B3E77">
              <w:rPr>
                <w:rFonts w:ascii="Times New Roman" w:eastAsia="楷体" w:hAnsi="Times New Roman" w:hint="eastAsia"/>
              </w:rPr>
              <w:t>课程的重点：利润的预测、利润的分配程序、股利政策的实施、股利的种类及其发放程序。</w:t>
            </w:r>
          </w:p>
          <w:p w:rsidR="008B3E77" w:rsidRPr="008B3E77" w:rsidRDefault="008B3E77" w:rsidP="00EB7125">
            <w:pPr>
              <w:rPr>
                <w:rFonts w:ascii="Times New Roman" w:eastAsia="楷体" w:hAnsi="Times New Roman"/>
                <w:bCs/>
                <w:szCs w:val="21"/>
              </w:rPr>
            </w:pPr>
            <w:r w:rsidRPr="008B3E77">
              <w:rPr>
                <w:rFonts w:ascii="Times New Roman" w:eastAsia="楷体" w:hAnsi="Times New Roman" w:hint="eastAsia"/>
              </w:rPr>
              <w:t>课程的难点：股利理论。</w:t>
            </w: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54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79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Merge/>
            <w:vAlign w:val="center"/>
          </w:tcPr>
          <w:p w:rsidR="008B3E77" w:rsidRPr="008B3E77" w:rsidRDefault="008B3E77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  <w:tr w:rsidR="009E4ACB" w:rsidRPr="008B3E77" w:rsidTr="0065011D">
        <w:trPr>
          <w:jc w:val="center"/>
        </w:trPr>
        <w:tc>
          <w:tcPr>
            <w:tcW w:w="703" w:type="dxa"/>
            <w:vAlign w:val="center"/>
          </w:tcPr>
          <w:p w:rsidR="009E4ACB" w:rsidRPr="008B3E77" w:rsidRDefault="009E4ACB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 w:hint="eastAsia"/>
                <w:bCs/>
                <w:szCs w:val="21"/>
              </w:rPr>
              <w:t>7</w:t>
            </w:r>
          </w:p>
        </w:tc>
        <w:tc>
          <w:tcPr>
            <w:tcW w:w="4747" w:type="dxa"/>
            <w:gridSpan w:val="3"/>
            <w:vAlign w:val="center"/>
          </w:tcPr>
          <w:p w:rsidR="009E4ACB" w:rsidRPr="008B3E77" w:rsidRDefault="009E4ACB" w:rsidP="009E4ACB">
            <w:pPr>
              <w:jc w:val="center"/>
              <w:rPr>
                <w:rFonts w:ascii="Times New Roman" w:eastAsia="楷体" w:hAnsi="Times New Roman" w:hint="eastAsia"/>
              </w:rPr>
            </w:pPr>
            <w:r>
              <w:rPr>
                <w:rFonts w:ascii="Times New Roman" w:eastAsia="楷体" w:hAnsi="Times New Roman" w:hint="eastAsia"/>
                <w:bCs/>
                <w:szCs w:val="21"/>
              </w:rPr>
              <w:t>机动课时</w:t>
            </w:r>
          </w:p>
        </w:tc>
        <w:tc>
          <w:tcPr>
            <w:tcW w:w="447" w:type="dxa"/>
            <w:vAlign w:val="center"/>
          </w:tcPr>
          <w:p w:rsidR="009E4ACB" w:rsidRPr="008B3E77" w:rsidRDefault="009E4ACB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 w:hint="eastAsia"/>
                <w:bCs/>
                <w:szCs w:val="21"/>
              </w:rPr>
              <w:t>2</w:t>
            </w:r>
          </w:p>
        </w:tc>
        <w:tc>
          <w:tcPr>
            <w:tcW w:w="454" w:type="dxa"/>
            <w:vAlign w:val="center"/>
          </w:tcPr>
          <w:p w:rsidR="009E4ACB" w:rsidRPr="008B3E77" w:rsidRDefault="009E4ACB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  <w:r>
              <w:rPr>
                <w:rFonts w:ascii="Times New Roman" w:eastAsia="楷体" w:hAnsi="Times New Roman" w:hint="eastAsia"/>
                <w:bCs/>
                <w:szCs w:val="21"/>
              </w:rPr>
              <w:t>2</w:t>
            </w:r>
          </w:p>
        </w:tc>
        <w:tc>
          <w:tcPr>
            <w:tcW w:w="479" w:type="dxa"/>
            <w:vAlign w:val="center"/>
          </w:tcPr>
          <w:p w:rsidR="009E4ACB" w:rsidRPr="008B3E77" w:rsidRDefault="009E4ACB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:rsidR="009E4ACB" w:rsidRPr="008B3E77" w:rsidRDefault="009E4ACB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447" w:type="dxa"/>
            <w:vAlign w:val="center"/>
          </w:tcPr>
          <w:p w:rsidR="009E4ACB" w:rsidRPr="008B3E77" w:rsidRDefault="009E4ACB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  <w:tc>
          <w:tcPr>
            <w:tcW w:w="552" w:type="dxa"/>
            <w:vAlign w:val="center"/>
          </w:tcPr>
          <w:p w:rsidR="009E4ACB" w:rsidRPr="008B3E77" w:rsidRDefault="009E4ACB" w:rsidP="00E63B91">
            <w:pPr>
              <w:rPr>
                <w:rFonts w:ascii="Times New Roman" w:eastAsia="楷体" w:hAnsi="Times New Roman"/>
                <w:bCs/>
                <w:szCs w:val="21"/>
              </w:rPr>
            </w:pPr>
          </w:p>
        </w:tc>
      </w:tr>
    </w:tbl>
    <w:p w:rsidR="005E214B" w:rsidRPr="00030714" w:rsidRDefault="005E214B" w:rsidP="005E214B">
      <w:pPr>
        <w:widowControl/>
        <w:spacing w:line="360" w:lineRule="auto"/>
        <w:ind w:firstLineChars="200" w:firstLine="420"/>
        <w:rPr>
          <w:rFonts w:ascii="??" w:hAnsi="??" w:cs="宋体"/>
          <w:color w:val="000000"/>
          <w:kern w:val="0"/>
          <w:szCs w:val="21"/>
        </w:rPr>
      </w:pPr>
    </w:p>
    <w:p w:rsidR="005E214B" w:rsidRPr="00030714" w:rsidRDefault="005E214B" w:rsidP="005E214B">
      <w:pPr>
        <w:spacing w:line="600" w:lineRule="exact"/>
        <w:rPr>
          <w:rFonts w:ascii="??" w:hAnsi="??" w:cs="宋体"/>
          <w:b/>
          <w:color w:val="FF0000"/>
          <w:kern w:val="0"/>
          <w:sz w:val="22"/>
        </w:rPr>
      </w:pPr>
      <w:r>
        <w:rPr>
          <w:rFonts w:eastAsia="黑体" w:hint="eastAsia"/>
          <w:bCs/>
          <w:sz w:val="28"/>
          <w:szCs w:val="32"/>
        </w:rPr>
        <w:t>三</w:t>
      </w:r>
      <w:r w:rsidRPr="00030714">
        <w:rPr>
          <w:rFonts w:eastAsia="黑体" w:hint="eastAsia"/>
          <w:bCs/>
          <w:sz w:val="28"/>
          <w:szCs w:val="32"/>
        </w:rPr>
        <w:t>、教材、参考书与其它学习资源</w:t>
      </w:r>
    </w:p>
    <w:p w:rsidR="005E214B" w:rsidRPr="00923C62" w:rsidRDefault="005E214B" w:rsidP="005E214B">
      <w:pPr>
        <w:spacing w:line="600" w:lineRule="exact"/>
        <w:rPr>
          <w:rFonts w:ascii="黑体" w:eastAsia="黑体" w:hAnsi="黑体"/>
          <w:bCs/>
          <w:sz w:val="24"/>
          <w:szCs w:val="32"/>
        </w:rPr>
      </w:pPr>
      <w:r w:rsidRPr="00923C62">
        <w:rPr>
          <w:rFonts w:ascii="黑体" w:eastAsia="黑体" w:hAnsi="黑体" w:hint="eastAsia"/>
          <w:bCs/>
          <w:sz w:val="24"/>
          <w:szCs w:val="32"/>
        </w:rPr>
        <w:t>（一）教材</w:t>
      </w:r>
      <w:r w:rsidR="008B3E77">
        <w:rPr>
          <w:rFonts w:ascii="黑体" w:eastAsia="黑体" w:hAnsi="黑体" w:hint="eastAsia"/>
          <w:bCs/>
          <w:sz w:val="24"/>
          <w:szCs w:val="32"/>
        </w:rPr>
        <w:t>：</w:t>
      </w:r>
      <w:r w:rsidR="008B3E77" w:rsidRPr="00FC26D6">
        <w:rPr>
          <w:rFonts w:ascii="Times New Roman" w:eastAsia="楷体" w:hAnsi="Times New Roman" w:hint="eastAsia"/>
          <w:sz w:val="24"/>
          <w:szCs w:val="24"/>
        </w:rPr>
        <w:t>左和平等</w:t>
      </w:r>
      <w:r w:rsidR="008B3E77" w:rsidRPr="00FC26D6">
        <w:rPr>
          <w:rFonts w:ascii="Times New Roman" w:eastAsia="楷体" w:hAnsi="Times New Roman"/>
          <w:sz w:val="24"/>
          <w:szCs w:val="24"/>
        </w:rPr>
        <w:t>编著</w:t>
      </w:r>
      <w:r w:rsidR="008B3E77" w:rsidRPr="00FC26D6">
        <w:rPr>
          <w:rFonts w:ascii="Times New Roman" w:eastAsia="楷体" w:hAnsi="Times New Roman" w:hint="eastAsia"/>
          <w:sz w:val="24"/>
          <w:szCs w:val="24"/>
        </w:rPr>
        <w:t>，《财务管理学》，高等教育出版社，</w:t>
      </w:r>
      <w:r w:rsidR="008B3E77" w:rsidRPr="00FC26D6">
        <w:rPr>
          <w:rFonts w:ascii="Times New Roman" w:eastAsia="楷体" w:hAnsi="Times New Roman" w:hint="eastAsia"/>
          <w:sz w:val="24"/>
          <w:szCs w:val="24"/>
        </w:rPr>
        <w:t>2012</w:t>
      </w:r>
      <w:r w:rsidR="008B3E77" w:rsidRPr="00FC26D6">
        <w:rPr>
          <w:rFonts w:ascii="Times New Roman" w:eastAsia="楷体" w:hAnsi="Times New Roman" w:hint="eastAsia"/>
          <w:sz w:val="24"/>
          <w:szCs w:val="24"/>
        </w:rPr>
        <w:t>年</w:t>
      </w:r>
    </w:p>
    <w:p w:rsidR="005E214B" w:rsidRDefault="005E214B" w:rsidP="005E214B">
      <w:pPr>
        <w:spacing w:line="600" w:lineRule="exact"/>
        <w:rPr>
          <w:rFonts w:ascii="黑体" w:eastAsia="黑体" w:hAnsi="黑体"/>
          <w:bCs/>
          <w:sz w:val="24"/>
          <w:szCs w:val="32"/>
        </w:rPr>
      </w:pPr>
      <w:r w:rsidRPr="00923C62">
        <w:rPr>
          <w:rFonts w:ascii="黑体" w:eastAsia="黑体" w:hAnsi="黑体" w:hint="eastAsia"/>
          <w:bCs/>
          <w:sz w:val="24"/>
          <w:szCs w:val="32"/>
        </w:rPr>
        <w:t>（二）参考书</w:t>
      </w:r>
      <w:r w:rsidR="008B3E77">
        <w:rPr>
          <w:rFonts w:ascii="黑体" w:eastAsia="黑体" w:hAnsi="黑体" w:hint="eastAsia"/>
          <w:bCs/>
          <w:sz w:val="24"/>
          <w:szCs w:val="32"/>
        </w:rPr>
        <w:t>：</w:t>
      </w:r>
    </w:p>
    <w:p w:rsidR="008B3E77" w:rsidRPr="00FC26D6" w:rsidRDefault="008B3E77" w:rsidP="00FC26D6">
      <w:pPr>
        <w:ind w:left="480" w:hangingChars="200" w:hanging="480"/>
        <w:rPr>
          <w:rFonts w:ascii="Times New Roman" w:eastAsia="楷体" w:hAnsi="Times New Roman"/>
          <w:sz w:val="24"/>
          <w:szCs w:val="24"/>
        </w:rPr>
      </w:pPr>
      <w:r w:rsidRPr="00FC26D6">
        <w:rPr>
          <w:rFonts w:ascii="Times New Roman" w:eastAsia="楷体" w:hAnsi="Times New Roman" w:hint="eastAsia"/>
          <w:sz w:val="24"/>
          <w:szCs w:val="24"/>
        </w:rPr>
        <w:t>（</w:t>
      </w:r>
      <w:r w:rsidRPr="00FC26D6">
        <w:rPr>
          <w:rFonts w:ascii="Times New Roman" w:eastAsia="楷体" w:hAnsi="Times New Roman" w:hint="eastAsia"/>
          <w:sz w:val="24"/>
          <w:szCs w:val="24"/>
        </w:rPr>
        <w:t>1</w:t>
      </w:r>
      <w:r w:rsidRPr="00FC26D6">
        <w:rPr>
          <w:rFonts w:ascii="Times New Roman" w:eastAsia="楷体" w:hAnsi="Times New Roman" w:hint="eastAsia"/>
          <w:sz w:val="24"/>
          <w:szCs w:val="24"/>
        </w:rPr>
        <w:t>）</w:t>
      </w:r>
      <w:r w:rsidRPr="00FC26D6">
        <w:rPr>
          <w:rFonts w:ascii="Times New Roman" w:eastAsia="楷体" w:hAnsi="Times New Roman"/>
          <w:sz w:val="24"/>
          <w:szCs w:val="24"/>
        </w:rPr>
        <w:t>荆新</w:t>
      </w:r>
      <w:r w:rsidRPr="00FC26D6">
        <w:rPr>
          <w:rFonts w:ascii="Times New Roman" w:eastAsia="楷体" w:hAnsi="Times New Roman" w:hint="eastAsia"/>
          <w:sz w:val="24"/>
          <w:szCs w:val="24"/>
        </w:rPr>
        <w:t>、</w:t>
      </w:r>
      <w:r w:rsidRPr="00FC26D6">
        <w:rPr>
          <w:rFonts w:ascii="Times New Roman" w:eastAsia="楷体" w:hAnsi="Times New Roman"/>
          <w:sz w:val="24"/>
          <w:szCs w:val="24"/>
        </w:rPr>
        <w:t>王化成</w:t>
      </w:r>
      <w:r w:rsidRPr="00FC26D6">
        <w:rPr>
          <w:rFonts w:ascii="Times New Roman" w:eastAsia="楷体" w:hAnsi="Times New Roman" w:hint="eastAsia"/>
          <w:sz w:val="24"/>
          <w:szCs w:val="24"/>
        </w:rPr>
        <w:t>、</w:t>
      </w:r>
      <w:r w:rsidRPr="00FC26D6">
        <w:rPr>
          <w:rFonts w:ascii="Times New Roman" w:eastAsia="楷体" w:hAnsi="Times New Roman"/>
          <w:sz w:val="24"/>
          <w:szCs w:val="24"/>
        </w:rPr>
        <w:t>刘俊彦编著</w:t>
      </w:r>
      <w:r w:rsidRPr="00FC26D6">
        <w:rPr>
          <w:rFonts w:ascii="Times New Roman" w:eastAsia="楷体" w:hAnsi="Times New Roman" w:hint="eastAsia"/>
          <w:sz w:val="24"/>
          <w:szCs w:val="24"/>
        </w:rPr>
        <w:t>，《财务管理学》，中国人民大学出版社，</w:t>
      </w:r>
      <w:r w:rsidRPr="00FC26D6">
        <w:rPr>
          <w:rFonts w:ascii="Times New Roman" w:eastAsia="楷体" w:hAnsi="Times New Roman" w:hint="eastAsia"/>
          <w:sz w:val="24"/>
          <w:szCs w:val="24"/>
        </w:rPr>
        <w:t>2012</w:t>
      </w:r>
      <w:r w:rsidRPr="00FC26D6">
        <w:rPr>
          <w:rFonts w:ascii="Times New Roman" w:eastAsia="楷体" w:hAnsi="Times New Roman" w:hint="eastAsia"/>
          <w:sz w:val="24"/>
          <w:szCs w:val="24"/>
        </w:rPr>
        <w:t>年</w:t>
      </w:r>
    </w:p>
    <w:p w:rsidR="008B3E77" w:rsidRPr="00FC26D6" w:rsidRDefault="008B3E77" w:rsidP="00FC26D6">
      <w:pPr>
        <w:ind w:left="480" w:hangingChars="200" w:hanging="480"/>
        <w:rPr>
          <w:rFonts w:ascii="Times New Roman" w:eastAsia="楷体" w:hAnsi="Times New Roman"/>
          <w:sz w:val="24"/>
          <w:szCs w:val="24"/>
        </w:rPr>
      </w:pPr>
      <w:r w:rsidRPr="00FC26D6">
        <w:rPr>
          <w:rFonts w:ascii="Times New Roman" w:eastAsia="楷体" w:hAnsi="Times New Roman" w:hint="eastAsia"/>
          <w:sz w:val="24"/>
          <w:szCs w:val="24"/>
        </w:rPr>
        <w:t>（</w:t>
      </w:r>
      <w:r w:rsidRPr="00FC26D6">
        <w:rPr>
          <w:rFonts w:ascii="Times New Roman" w:eastAsia="楷体" w:hAnsi="Times New Roman" w:hint="eastAsia"/>
          <w:sz w:val="24"/>
          <w:szCs w:val="24"/>
        </w:rPr>
        <w:t>2</w:t>
      </w:r>
      <w:r w:rsidRPr="00FC26D6">
        <w:rPr>
          <w:rFonts w:ascii="Times New Roman" w:eastAsia="楷体" w:hAnsi="Times New Roman" w:hint="eastAsia"/>
          <w:sz w:val="24"/>
          <w:szCs w:val="24"/>
        </w:rPr>
        <w:t>）中国注册会计师协会</w:t>
      </w:r>
      <w:r w:rsidRPr="00FC26D6">
        <w:rPr>
          <w:rFonts w:ascii="Times New Roman" w:eastAsia="楷体" w:hAnsi="Times New Roman"/>
          <w:sz w:val="24"/>
          <w:szCs w:val="24"/>
        </w:rPr>
        <w:t>编著</w:t>
      </w:r>
      <w:r w:rsidRPr="00FC26D6">
        <w:rPr>
          <w:rFonts w:ascii="Times New Roman" w:eastAsia="楷体" w:hAnsi="Times New Roman" w:hint="eastAsia"/>
          <w:sz w:val="24"/>
          <w:szCs w:val="24"/>
        </w:rPr>
        <w:t>，《财务成本管理》，中国财政经济出版社，</w:t>
      </w:r>
      <w:r w:rsidRPr="00FC26D6">
        <w:rPr>
          <w:rFonts w:ascii="Times New Roman" w:eastAsia="楷体" w:hAnsi="Times New Roman" w:hint="eastAsia"/>
          <w:sz w:val="24"/>
          <w:szCs w:val="24"/>
        </w:rPr>
        <w:t>2012</w:t>
      </w:r>
      <w:r w:rsidRPr="00FC26D6">
        <w:rPr>
          <w:rFonts w:ascii="Times New Roman" w:eastAsia="楷体" w:hAnsi="Times New Roman" w:hint="eastAsia"/>
          <w:sz w:val="24"/>
          <w:szCs w:val="24"/>
        </w:rPr>
        <w:t>年</w:t>
      </w:r>
    </w:p>
    <w:p w:rsidR="008B3E77" w:rsidRPr="00FC26D6" w:rsidRDefault="008B3E77" w:rsidP="00FC26D6">
      <w:pPr>
        <w:ind w:left="480" w:hangingChars="200" w:hanging="480"/>
        <w:rPr>
          <w:rFonts w:ascii="Times New Roman" w:eastAsia="楷体" w:hAnsi="Times New Roman"/>
          <w:sz w:val="24"/>
          <w:szCs w:val="24"/>
        </w:rPr>
      </w:pPr>
      <w:r w:rsidRPr="00FC26D6">
        <w:rPr>
          <w:rFonts w:ascii="Times New Roman" w:eastAsia="楷体" w:hAnsi="Times New Roman" w:hint="eastAsia"/>
          <w:sz w:val="24"/>
          <w:szCs w:val="24"/>
        </w:rPr>
        <w:t>（</w:t>
      </w:r>
      <w:r w:rsidRPr="00FC26D6">
        <w:rPr>
          <w:rFonts w:ascii="Times New Roman" w:eastAsia="楷体" w:hAnsi="Times New Roman" w:hint="eastAsia"/>
          <w:sz w:val="24"/>
          <w:szCs w:val="24"/>
        </w:rPr>
        <w:t>3</w:t>
      </w:r>
      <w:r w:rsidRPr="00FC26D6">
        <w:rPr>
          <w:rFonts w:ascii="Times New Roman" w:eastAsia="楷体" w:hAnsi="Times New Roman" w:hint="eastAsia"/>
          <w:sz w:val="24"/>
          <w:szCs w:val="24"/>
        </w:rPr>
        <w:t>）</w:t>
      </w:r>
      <w:r w:rsidRPr="00FC26D6">
        <w:rPr>
          <w:rFonts w:ascii="Times New Roman" w:eastAsia="楷体" w:hAnsi="Times New Roman"/>
          <w:sz w:val="24"/>
          <w:szCs w:val="24"/>
        </w:rPr>
        <w:t>郭复初</w:t>
      </w:r>
      <w:r w:rsidRPr="00FC26D6">
        <w:rPr>
          <w:rFonts w:ascii="Times New Roman" w:eastAsia="楷体" w:hAnsi="Times New Roman" w:hint="eastAsia"/>
          <w:sz w:val="24"/>
          <w:szCs w:val="24"/>
        </w:rPr>
        <w:t>、</w:t>
      </w:r>
      <w:r w:rsidRPr="00FC26D6">
        <w:rPr>
          <w:rFonts w:ascii="Times New Roman" w:eastAsia="楷体" w:hAnsi="Times New Roman"/>
          <w:sz w:val="24"/>
          <w:szCs w:val="24"/>
        </w:rPr>
        <w:t>王庆成编著</w:t>
      </w:r>
      <w:r w:rsidRPr="00FC26D6">
        <w:rPr>
          <w:rFonts w:ascii="Times New Roman" w:eastAsia="楷体" w:hAnsi="Times New Roman" w:hint="eastAsia"/>
          <w:sz w:val="24"/>
          <w:szCs w:val="24"/>
        </w:rPr>
        <w:t>，《财务管理学》，高等教育出版社，</w:t>
      </w:r>
      <w:r w:rsidRPr="00FC26D6">
        <w:rPr>
          <w:rFonts w:ascii="Times New Roman" w:eastAsia="楷体" w:hAnsi="Times New Roman" w:hint="eastAsia"/>
          <w:sz w:val="24"/>
          <w:szCs w:val="24"/>
        </w:rPr>
        <w:t>2009</w:t>
      </w:r>
      <w:r w:rsidRPr="00FC26D6">
        <w:rPr>
          <w:rFonts w:ascii="Times New Roman" w:eastAsia="楷体" w:hAnsi="Times New Roman" w:hint="eastAsia"/>
          <w:sz w:val="24"/>
          <w:szCs w:val="24"/>
        </w:rPr>
        <w:t>年</w:t>
      </w:r>
    </w:p>
    <w:p w:rsidR="005E214B" w:rsidRPr="00923C62" w:rsidRDefault="005E214B" w:rsidP="005E214B">
      <w:pPr>
        <w:spacing w:line="600" w:lineRule="exact"/>
        <w:rPr>
          <w:rFonts w:ascii="黑体" w:eastAsia="黑体" w:hAnsi="黑体"/>
          <w:bCs/>
          <w:sz w:val="24"/>
          <w:szCs w:val="32"/>
        </w:rPr>
      </w:pPr>
      <w:r w:rsidRPr="00923C62">
        <w:rPr>
          <w:rFonts w:ascii="黑体" w:eastAsia="黑体" w:hAnsi="黑体" w:hint="eastAsia"/>
          <w:bCs/>
          <w:sz w:val="24"/>
          <w:szCs w:val="32"/>
        </w:rPr>
        <w:t>（三）其它学习资源</w:t>
      </w:r>
      <w:r w:rsidR="008B3E77">
        <w:rPr>
          <w:rFonts w:ascii="黑体" w:eastAsia="黑体" w:hAnsi="黑体" w:hint="eastAsia"/>
          <w:bCs/>
          <w:sz w:val="24"/>
          <w:szCs w:val="32"/>
        </w:rPr>
        <w:t>：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2921"/>
        <w:gridCol w:w="2521"/>
      </w:tblGrid>
      <w:tr w:rsidR="005E214B" w:rsidRPr="009F2833" w:rsidTr="00E63B91">
        <w:trPr>
          <w:trHeight w:val="517"/>
          <w:jc w:val="center"/>
        </w:trPr>
        <w:tc>
          <w:tcPr>
            <w:tcW w:w="3001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9F2833">
              <w:rPr>
                <w:rFonts w:ascii="仿宋_GB2312" w:eastAsia="仿宋_GB2312" w:hAnsi="宋体" w:hint="eastAsia"/>
                <w:sz w:val="24"/>
              </w:rPr>
              <w:t>大纲执笔</w:t>
            </w:r>
          </w:p>
        </w:tc>
        <w:tc>
          <w:tcPr>
            <w:tcW w:w="3095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9F2833">
              <w:rPr>
                <w:rFonts w:ascii="仿宋_GB2312" w:eastAsia="仿宋_GB2312" w:hAnsi="宋体" w:hint="eastAsia"/>
                <w:color w:val="000000"/>
                <w:sz w:val="24"/>
              </w:rPr>
              <w:t>大纲审核</w:t>
            </w:r>
          </w:p>
        </w:tc>
        <w:tc>
          <w:tcPr>
            <w:tcW w:w="2667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9F2833">
              <w:rPr>
                <w:rFonts w:ascii="仿宋_GB2312" w:eastAsia="仿宋_GB2312" w:hAnsi="宋体" w:hint="eastAsia"/>
                <w:color w:val="000000"/>
                <w:sz w:val="24"/>
              </w:rPr>
              <w:t>大纲审定</w:t>
            </w:r>
          </w:p>
        </w:tc>
      </w:tr>
      <w:tr w:rsidR="005E214B" w:rsidRPr="009F2833" w:rsidTr="00E63B91">
        <w:trPr>
          <w:trHeight w:val="553"/>
          <w:jc w:val="center"/>
        </w:trPr>
        <w:tc>
          <w:tcPr>
            <w:tcW w:w="3001" w:type="dxa"/>
            <w:vAlign w:val="center"/>
          </w:tcPr>
          <w:p w:rsidR="005E214B" w:rsidRPr="009F2833" w:rsidRDefault="008B3E77" w:rsidP="00E63B9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杨建仁</w:t>
            </w:r>
          </w:p>
        </w:tc>
        <w:tc>
          <w:tcPr>
            <w:tcW w:w="3095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67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</w:p>
        </w:tc>
      </w:tr>
      <w:tr w:rsidR="005E214B" w:rsidRPr="009F2833" w:rsidTr="00E63B91">
        <w:trPr>
          <w:trHeight w:val="553"/>
          <w:jc w:val="center"/>
        </w:trPr>
        <w:tc>
          <w:tcPr>
            <w:tcW w:w="3001" w:type="dxa"/>
            <w:vAlign w:val="center"/>
          </w:tcPr>
          <w:p w:rsidR="005E214B" w:rsidRPr="009F2833" w:rsidRDefault="005E214B" w:rsidP="00E63B91">
            <w:pPr>
              <w:jc w:val="center"/>
              <w:rPr>
                <w:rFonts w:ascii="仿宋_GB2312" w:eastAsia="仿宋_GB2312"/>
              </w:rPr>
            </w:pPr>
            <w:r w:rsidRPr="009F2833">
              <w:rPr>
                <w:rFonts w:ascii="仿宋_GB2312" w:eastAsia="仿宋_GB2312" w:hAnsi="宋体" w:hint="eastAsia"/>
                <w:sz w:val="24"/>
              </w:rPr>
              <w:t>制定时间</w:t>
            </w:r>
          </w:p>
        </w:tc>
        <w:tc>
          <w:tcPr>
            <w:tcW w:w="5762" w:type="dxa"/>
            <w:gridSpan w:val="2"/>
            <w:vAlign w:val="center"/>
          </w:tcPr>
          <w:p w:rsidR="005E214B" w:rsidRPr="009F2833" w:rsidRDefault="008B3E77" w:rsidP="00E63B91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201</w:t>
            </w:r>
            <w:r w:rsidR="00241C0B">
              <w:rPr>
                <w:rFonts w:ascii="仿宋_GB2312" w:eastAsia="仿宋_GB2312" w:hint="eastAsia"/>
              </w:rPr>
              <w:t>8</w:t>
            </w:r>
            <w:r w:rsidR="005E214B" w:rsidRPr="009F2833"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 w:hint="eastAsia"/>
              </w:rPr>
              <w:t>1</w:t>
            </w:r>
            <w:r w:rsidR="005E214B" w:rsidRPr="009F2833">
              <w:rPr>
                <w:rFonts w:ascii="仿宋_GB2312" w:eastAsia="仿宋_GB2312" w:hint="eastAsia"/>
              </w:rPr>
              <w:t>月</w:t>
            </w:r>
            <w:r w:rsidR="00241C0B">
              <w:rPr>
                <w:rFonts w:ascii="仿宋_GB2312" w:eastAsia="仿宋_GB2312" w:hint="eastAsia"/>
              </w:rPr>
              <w:t>9</w:t>
            </w:r>
            <w:r w:rsidR="005E214B" w:rsidRPr="009F2833">
              <w:rPr>
                <w:rFonts w:ascii="仿宋_GB2312" w:eastAsia="仿宋_GB2312" w:hint="eastAsia"/>
              </w:rPr>
              <w:t>日</w:t>
            </w:r>
          </w:p>
        </w:tc>
        <w:bookmarkStart w:id="0" w:name="_GoBack"/>
        <w:bookmarkEnd w:id="0"/>
      </w:tr>
    </w:tbl>
    <w:p w:rsidR="005E214B" w:rsidRDefault="005E214B" w:rsidP="005E214B"/>
    <w:p w:rsidR="005E214B" w:rsidRPr="00746229" w:rsidRDefault="005E214B" w:rsidP="005E214B">
      <w:pPr>
        <w:rPr>
          <w:rFonts w:ascii="仿宋_GB2312" w:eastAsia="仿宋_GB2312"/>
          <w:color w:val="000000"/>
        </w:rPr>
      </w:pPr>
      <w:r w:rsidRPr="00746229">
        <w:rPr>
          <w:rFonts w:ascii="仿宋_GB2312" w:eastAsia="仿宋_GB2312" w:hAnsi="宋体" w:hint="eastAsia"/>
          <w:color w:val="000000"/>
        </w:rPr>
        <w:t>注意：填写完成后将文档名称修改为“学校名称_课程名称”，例如“华东交通大学_编程方法与实现”。</w:t>
      </w:r>
    </w:p>
    <w:p w:rsidR="008629FC" w:rsidRPr="005E214B" w:rsidRDefault="008629FC"/>
    <w:sectPr w:rsidR="008629FC" w:rsidRPr="005E21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14B"/>
    <w:rsid w:val="00011EEA"/>
    <w:rsid w:val="00241C0B"/>
    <w:rsid w:val="002B275E"/>
    <w:rsid w:val="003002D3"/>
    <w:rsid w:val="00580439"/>
    <w:rsid w:val="005E214B"/>
    <w:rsid w:val="00672C96"/>
    <w:rsid w:val="006D1FB2"/>
    <w:rsid w:val="008629FC"/>
    <w:rsid w:val="008B3E77"/>
    <w:rsid w:val="0094581C"/>
    <w:rsid w:val="009E4ACB"/>
    <w:rsid w:val="00EB7125"/>
    <w:rsid w:val="00FC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B8318"/>
  <w15:docId w15:val="{CC29C264-2897-402E-AF1E-5B5142A0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214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1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443</Words>
  <Characters>2529</Characters>
  <Application>Microsoft Office Word</Application>
  <DocSecurity>0</DocSecurity>
  <Lines>21</Lines>
  <Paragraphs>5</Paragraphs>
  <ScaleCrop>false</ScaleCrop>
  <Company>china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jr yang</cp:lastModifiedBy>
  <cp:revision>7</cp:revision>
  <dcterms:created xsi:type="dcterms:W3CDTF">2018-01-09T15:50:00Z</dcterms:created>
  <dcterms:modified xsi:type="dcterms:W3CDTF">2018-01-09T16:11:00Z</dcterms:modified>
</cp:coreProperties>
</file>