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713" w:rsidRDefault="00004D97">
      <w:pPr>
        <w:pStyle w:val="Style2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</w:p>
    <w:p w:rsidR="00B77713" w:rsidRDefault="00004D97">
      <w:pPr>
        <w:pStyle w:val="Style2"/>
        <w:spacing w:beforeLines="50" w:before="156" w:afterLines="50" w:after="156" w:line="600" w:lineRule="exact"/>
        <w:ind w:firstLineChars="0" w:firstLine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《</w:t>
      </w:r>
      <w:r>
        <w:rPr>
          <w:rFonts w:ascii="方正小标宋简体" w:eastAsia="方正小标宋简体" w:hAnsi="宋体" w:hint="eastAsia"/>
          <w:sz w:val="44"/>
          <w:szCs w:val="44"/>
        </w:rPr>
        <w:t>文学与医学</w:t>
      </w:r>
      <w:r>
        <w:rPr>
          <w:rFonts w:ascii="方正小标宋简体" w:eastAsia="方正小标宋简体" w:hAnsi="宋体" w:hint="eastAsia"/>
          <w:sz w:val="44"/>
          <w:szCs w:val="44"/>
        </w:rPr>
        <w:t>》课程教学大纲</w:t>
      </w:r>
    </w:p>
    <w:p w:rsidR="00B77713" w:rsidRDefault="00004D97">
      <w:pPr>
        <w:spacing w:afterLines="50" w:after="156"/>
        <w:rPr>
          <w:rFonts w:ascii="??" w:hAnsi="??" w:cs="宋体"/>
          <w:b/>
          <w:color w:val="000000"/>
          <w:kern w:val="0"/>
          <w:sz w:val="22"/>
        </w:rPr>
      </w:pPr>
      <w:r>
        <w:rPr>
          <w:rFonts w:eastAsia="黑体" w:hint="eastAsia"/>
          <w:bCs/>
          <w:sz w:val="28"/>
          <w:szCs w:val="32"/>
        </w:rPr>
        <w:t>一、课程基本信息</w:t>
      </w:r>
    </w:p>
    <w:tbl>
      <w:tblPr>
        <w:tblW w:w="86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8"/>
        <w:gridCol w:w="425"/>
        <w:gridCol w:w="713"/>
        <w:gridCol w:w="985"/>
        <w:gridCol w:w="996"/>
        <w:gridCol w:w="496"/>
        <w:gridCol w:w="851"/>
        <w:gridCol w:w="992"/>
        <w:gridCol w:w="417"/>
        <w:gridCol w:w="717"/>
        <w:gridCol w:w="1345"/>
      </w:tblGrid>
      <w:tr w:rsidR="00B77713">
        <w:trPr>
          <w:trHeight w:val="569"/>
          <w:jc w:val="center"/>
        </w:trPr>
        <w:tc>
          <w:tcPr>
            <w:tcW w:w="694" w:type="dxa"/>
            <w:gridSpan w:val="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开课学校</w:t>
            </w:r>
          </w:p>
        </w:tc>
        <w:tc>
          <w:tcPr>
            <w:tcW w:w="3615" w:type="dxa"/>
            <w:gridSpan w:val="5"/>
            <w:vAlign w:val="center"/>
          </w:tcPr>
          <w:p w:rsidR="00B77713" w:rsidRDefault="00004D9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赣南医学院</w:t>
            </w:r>
          </w:p>
        </w:tc>
        <w:tc>
          <w:tcPr>
            <w:tcW w:w="851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院系</w:t>
            </w:r>
          </w:p>
        </w:tc>
        <w:tc>
          <w:tcPr>
            <w:tcW w:w="3471" w:type="dxa"/>
            <w:gridSpan w:val="4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宋体" w:hAnsi="宋体" w:cs="宋体" w:hint="eastAsia"/>
              </w:rPr>
              <w:t>马克思主义学院</w:t>
            </w:r>
          </w:p>
        </w:tc>
      </w:tr>
      <w:tr w:rsidR="00B77713">
        <w:trPr>
          <w:trHeight w:val="696"/>
          <w:jc w:val="center"/>
        </w:trPr>
        <w:tc>
          <w:tcPr>
            <w:tcW w:w="694" w:type="dxa"/>
            <w:gridSpan w:val="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课程名称</w:t>
            </w:r>
          </w:p>
        </w:tc>
        <w:tc>
          <w:tcPr>
            <w:tcW w:w="3615" w:type="dxa"/>
            <w:gridSpan w:val="5"/>
            <w:vAlign w:val="center"/>
          </w:tcPr>
          <w:p w:rsidR="00B77713" w:rsidRDefault="00004D9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文学与医学</w:t>
            </w:r>
          </w:p>
        </w:tc>
        <w:tc>
          <w:tcPr>
            <w:tcW w:w="851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课程英文名称</w:t>
            </w:r>
          </w:p>
        </w:tc>
        <w:tc>
          <w:tcPr>
            <w:tcW w:w="3471" w:type="dxa"/>
            <w:gridSpan w:val="4"/>
            <w:vAlign w:val="center"/>
          </w:tcPr>
          <w:p w:rsidR="00B77713" w:rsidRDefault="00004D9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Literature and medicine</w:t>
            </w:r>
          </w:p>
        </w:tc>
      </w:tr>
      <w:tr w:rsidR="00B77713">
        <w:trPr>
          <w:trHeight w:val="634"/>
          <w:jc w:val="center"/>
        </w:trPr>
        <w:tc>
          <w:tcPr>
            <w:tcW w:w="694" w:type="dxa"/>
            <w:gridSpan w:val="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课程编号</w:t>
            </w:r>
          </w:p>
        </w:tc>
        <w:tc>
          <w:tcPr>
            <w:tcW w:w="3615" w:type="dxa"/>
            <w:gridSpan w:val="5"/>
            <w:vAlign w:val="center"/>
          </w:tcPr>
          <w:p w:rsidR="00B77713" w:rsidRDefault="00004D9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201720001974</w:t>
            </w:r>
          </w:p>
        </w:tc>
        <w:tc>
          <w:tcPr>
            <w:tcW w:w="851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学时</w:t>
            </w:r>
          </w:p>
        </w:tc>
        <w:tc>
          <w:tcPr>
            <w:tcW w:w="1409" w:type="dxa"/>
            <w:gridSpan w:val="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717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学分</w:t>
            </w:r>
          </w:p>
        </w:tc>
        <w:tc>
          <w:tcPr>
            <w:tcW w:w="1345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</w:tr>
      <w:tr w:rsidR="00B77713">
        <w:trPr>
          <w:trHeight w:val="634"/>
          <w:jc w:val="center"/>
        </w:trPr>
        <w:tc>
          <w:tcPr>
            <w:tcW w:w="694" w:type="dxa"/>
            <w:gridSpan w:val="2"/>
            <w:vAlign w:val="center"/>
          </w:tcPr>
          <w:p w:rsidR="00B77713" w:rsidRDefault="00004D97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课程类型</w:t>
            </w:r>
          </w:p>
        </w:tc>
        <w:tc>
          <w:tcPr>
            <w:tcW w:w="3615" w:type="dxa"/>
            <w:gridSpan w:val="5"/>
            <w:vAlign w:val="center"/>
          </w:tcPr>
          <w:p w:rsidR="00B77713" w:rsidRDefault="00004D97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int="eastAsia"/>
              </w:rPr>
              <w:t>通识课○公共基础课</w:t>
            </w:r>
          </w:p>
          <w:p w:rsidR="00B77713" w:rsidRDefault="00004D97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○学科基础课○专业课</w:t>
            </w:r>
          </w:p>
        </w:tc>
        <w:tc>
          <w:tcPr>
            <w:tcW w:w="851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</w:t>
            </w:r>
          </w:p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属性</w:t>
            </w:r>
          </w:p>
        </w:tc>
        <w:tc>
          <w:tcPr>
            <w:tcW w:w="1409" w:type="dxa"/>
            <w:gridSpan w:val="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○必修课</w:t>
            </w:r>
          </w:p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int="eastAsia"/>
              </w:rPr>
              <w:t>选修课</w:t>
            </w:r>
          </w:p>
        </w:tc>
        <w:tc>
          <w:tcPr>
            <w:tcW w:w="717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考核方式</w:t>
            </w:r>
          </w:p>
        </w:tc>
        <w:tc>
          <w:tcPr>
            <w:tcW w:w="1345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○考试</w:t>
            </w:r>
          </w:p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int="eastAsia"/>
              </w:rPr>
              <w:t>考查</w:t>
            </w:r>
          </w:p>
        </w:tc>
      </w:tr>
      <w:tr w:rsidR="00B77713">
        <w:trPr>
          <w:trHeight w:val="700"/>
          <w:jc w:val="center"/>
        </w:trPr>
        <w:tc>
          <w:tcPr>
            <w:tcW w:w="694" w:type="dxa"/>
            <w:gridSpan w:val="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适用专业</w:t>
            </w:r>
          </w:p>
        </w:tc>
        <w:tc>
          <w:tcPr>
            <w:tcW w:w="7937" w:type="dxa"/>
            <w:gridSpan w:val="10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宋体" w:hAnsi="宋体" w:cs="宋体" w:hint="eastAsia"/>
              </w:rPr>
              <w:t>所有专业</w:t>
            </w:r>
          </w:p>
        </w:tc>
      </w:tr>
      <w:tr w:rsidR="00B77713">
        <w:trPr>
          <w:trHeight w:val="697"/>
          <w:jc w:val="center"/>
        </w:trPr>
        <w:tc>
          <w:tcPr>
            <w:tcW w:w="694" w:type="dxa"/>
            <w:gridSpan w:val="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先修课程</w:t>
            </w:r>
          </w:p>
        </w:tc>
        <w:tc>
          <w:tcPr>
            <w:tcW w:w="7937" w:type="dxa"/>
            <w:gridSpan w:val="10"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</w:tr>
      <w:tr w:rsidR="00B77713">
        <w:trPr>
          <w:jc w:val="center"/>
        </w:trPr>
        <w:tc>
          <w:tcPr>
            <w:tcW w:w="8631" w:type="dxa"/>
            <w:gridSpan w:val="1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成绩评定</w:t>
            </w:r>
          </w:p>
        </w:tc>
      </w:tr>
      <w:tr w:rsidR="00B77713">
        <w:trPr>
          <w:trHeight w:val="513"/>
          <w:jc w:val="center"/>
        </w:trPr>
        <w:tc>
          <w:tcPr>
            <w:tcW w:w="1119" w:type="dxa"/>
            <w:gridSpan w:val="3"/>
            <w:vMerge w:val="restart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○百分制</w:t>
            </w:r>
          </w:p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int="eastAsia"/>
              </w:rPr>
              <w:t>五级制</w:t>
            </w:r>
          </w:p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○两级制</w:t>
            </w:r>
          </w:p>
        </w:tc>
        <w:tc>
          <w:tcPr>
            <w:tcW w:w="6167" w:type="dxa"/>
            <w:gridSpan w:val="8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平时考核成绩比例（</w:t>
            </w:r>
            <w:r>
              <w:rPr>
                <w:rFonts w:ascii="仿宋_GB2312" w:eastAsia="仿宋_GB2312" w:hint="eastAsia"/>
              </w:rPr>
              <w:t>30</w:t>
            </w:r>
            <w:r>
              <w:rPr>
                <w:rFonts w:ascii="仿宋_GB2312" w:eastAsia="仿宋_GB2312" w:hint="eastAsia"/>
              </w:rPr>
              <w:t>）</w:t>
            </w:r>
            <w:r>
              <w:rPr>
                <w:rFonts w:ascii="仿宋_GB2312" w:eastAsia="仿宋_GB2312" w:hint="eastAsia"/>
              </w:rPr>
              <w:t>%</w:t>
            </w:r>
            <w:r>
              <w:rPr>
                <w:rFonts w:ascii="仿宋_GB2312" w:eastAsia="仿宋_GB2312" w:hint="eastAsia"/>
              </w:rPr>
              <w:t>，其中：</w:t>
            </w:r>
          </w:p>
        </w:tc>
        <w:tc>
          <w:tcPr>
            <w:tcW w:w="1345" w:type="dxa"/>
            <w:vMerge w:val="restart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期末考核</w:t>
            </w:r>
          </w:p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成绩比例</w:t>
            </w:r>
          </w:p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int="eastAsia"/>
              </w:rPr>
              <w:t>70</w:t>
            </w:r>
            <w:r>
              <w:rPr>
                <w:rFonts w:ascii="仿宋_GB2312" w:eastAsia="仿宋_GB2312" w:hint="eastAsia"/>
              </w:rPr>
              <w:t>）</w:t>
            </w:r>
            <w:r>
              <w:rPr>
                <w:rFonts w:ascii="仿宋_GB2312" w:eastAsia="仿宋_GB2312" w:hint="eastAsia"/>
              </w:rPr>
              <w:t>%</w:t>
            </w:r>
          </w:p>
        </w:tc>
      </w:tr>
      <w:tr w:rsidR="00B77713">
        <w:trPr>
          <w:trHeight w:val="562"/>
          <w:jc w:val="center"/>
        </w:trPr>
        <w:tc>
          <w:tcPr>
            <w:tcW w:w="1119" w:type="dxa"/>
            <w:gridSpan w:val="3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13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??" w:cs="宋体" w:hint="eastAsia"/>
                <w:kern w:val="0"/>
                <w:szCs w:val="21"/>
              </w:rPr>
              <w:t>项目</w:t>
            </w:r>
          </w:p>
        </w:tc>
        <w:tc>
          <w:tcPr>
            <w:tcW w:w="985" w:type="dxa"/>
            <w:vAlign w:val="center"/>
          </w:tcPr>
          <w:p w:rsidR="00B77713" w:rsidRDefault="00004D9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课堂</w:t>
            </w:r>
          </w:p>
          <w:p w:rsidR="00B77713" w:rsidRDefault="00004D9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作业</w:t>
            </w:r>
          </w:p>
        </w:tc>
        <w:tc>
          <w:tcPr>
            <w:tcW w:w="996" w:type="dxa"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45" w:type="dxa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</w:tr>
      <w:tr w:rsidR="00B77713">
        <w:trPr>
          <w:trHeight w:val="556"/>
          <w:jc w:val="center"/>
        </w:trPr>
        <w:tc>
          <w:tcPr>
            <w:tcW w:w="1119" w:type="dxa"/>
            <w:gridSpan w:val="3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</w:rPr>
            </w:pPr>
          </w:p>
        </w:tc>
        <w:tc>
          <w:tcPr>
            <w:tcW w:w="713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??" w:cs="宋体" w:hint="eastAsia"/>
                <w:kern w:val="0"/>
                <w:szCs w:val="21"/>
              </w:rPr>
              <w:t>权重</w:t>
            </w:r>
          </w:p>
        </w:tc>
        <w:tc>
          <w:tcPr>
            <w:tcW w:w="985" w:type="dxa"/>
            <w:vAlign w:val="center"/>
          </w:tcPr>
          <w:p w:rsidR="00B77713" w:rsidRDefault="00004D9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30</w:t>
            </w:r>
          </w:p>
        </w:tc>
        <w:tc>
          <w:tcPr>
            <w:tcW w:w="996" w:type="dxa"/>
            <w:vAlign w:val="center"/>
          </w:tcPr>
          <w:p w:rsidR="00B77713" w:rsidRDefault="00B77713">
            <w:pPr>
              <w:rPr>
                <w:rFonts w:ascii="仿宋_GB2312" w:eastAsia="仿宋_GB2312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B77713" w:rsidRDefault="00B77713">
            <w:pPr>
              <w:rPr>
                <w:rFonts w:ascii="仿宋_GB2312" w:eastAsia="仿宋_GB2312"/>
              </w:rPr>
            </w:pPr>
          </w:p>
        </w:tc>
        <w:tc>
          <w:tcPr>
            <w:tcW w:w="992" w:type="dxa"/>
            <w:vAlign w:val="center"/>
          </w:tcPr>
          <w:p w:rsidR="00B77713" w:rsidRDefault="00B77713">
            <w:pPr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77713" w:rsidRDefault="00B77713">
            <w:pPr>
              <w:rPr>
                <w:rFonts w:ascii="仿宋_GB2312" w:eastAsia="仿宋_GB2312"/>
              </w:rPr>
            </w:pPr>
          </w:p>
        </w:tc>
        <w:tc>
          <w:tcPr>
            <w:tcW w:w="13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</w:rPr>
            </w:pPr>
          </w:p>
        </w:tc>
      </w:tr>
      <w:tr w:rsidR="00B77713">
        <w:trPr>
          <w:jc w:val="center"/>
        </w:trPr>
        <w:tc>
          <w:tcPr>
            <w:tcW w:w="426" w:type="dxa"/>
            <w:vAlign w:val="center"/>
          </w:tcPr>
          <w:p w:rsidR="00B77713" w:rsidRDefault="00004D97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课程简介</w:t>
            </w:r>
          </w:p>
        </w:tc>
        <w:tc>
          <w:tcPr>
            <w:tcW w:w="8205" w:type="dxa"/>
            <w:gridSpan w:val="11"/>
            <w:vAlign w:val="center"/>
          </w:tcPr>
          <w:p w:rsidR="00B77713" w:rsidRDefault="00B77713">
            <w:pPr>
              <w:rPr>
                <w:rFonts w:ascii="仿宋_GB2312" w:eastAsia="仿宋_GB2312"/>
              </w:rPr>
            </w:pPr>
          </w:p>
          <w:p w:rsidR="00B77713" w:rsidRDefault="00B77713">
            <w:pPr>
              <w:rPr>
                <w:rFonts w:ascii="仿宋_GB2312" w:eastAsia="仿宋_GB2312"/>
              </w:rPr>
            </w:pPr>
          </w:p>
          <w:p w:rsidR="00B77713" w:rsidRDefault="00004D97">
            <w:pPr>
              <w:widowControl/>
              <w:ind w:firstLine="480"/>
              <w:jc w:val="left"/>
              <w:rPr>
                <w:rFonts w:ascii="Helvetica" w:hAnsi="Helvetica" w:cs="Helvetica"/>
                <w:sz w:val="24"/>
              </w:rPr>
            </w:pPr>
            <w:r>
              <w:rPr>
                <w:rFonts w:hint="eastAsia"/>
                <w:sz w:val="24"/>
              </w:rPr>
              <w:t>本课程为</w:t>
            </w:r>
            <w:r>
              <w:rPr>
                <w:rFonts w:hint="eastAsia"/>
                <w:sz w:val="24"/>
              </w:rPr>
              <w:t>通识课，主要</w:t>
            </w:r>
            <w:r>
              <w:rPr>
                <w:rFonts w:ascii="Helvetica" w:hAnsi="Helvetica" w:cs="Helvetica"/>
                <w:sz w:val="24"/>
              </w:rPr>
              <w:t>通过</w:t>
            </w:r>
            <w:r>
              <w:rPr>
                <w:rFonts w:ascii="Helvetica" w:hAnsi="Helvetica" w:cs="Helvetica" w:hint="eastAsia"/>
                <w:sz w:val="24"/>
              </w:rPr>
              <w:t>阅读分析</w:t>
            </w:r>
            <w:r>
              <w:rPr>
                <w:rFonts w:ascii="Helvetica" w:hAnsi="Helvetica" w:cs="Helvetica"/>
                <w:sz w:val="24"/>
              </w:rPr>
              <w:t>文学</w:t>
            </w:r>
            <w:r>
              <w:rPr>
                <w:rFonts w:hint="eastAsia"/>
                <w:sz w:val="24"/>
              </w:rPr>
              <w:t>作品，使</w:t>
            </w:r>
            <w:r>
              <w:rPr>
                <w:rFonts w:ascii="Helvetica" w:hAnsi="Helvetica" w:cs="Helvetica"/>
                <w:sz w:val="24"/>
              </w:rPr>
              <w:t>学生</w:t>
            </w:r>
            <w:r>
              <w:rPr>
                <w:rFonts w:ascii="Helvetica" w:hAnsi="Helvetica" w:cs="Helvetica" w:hint="eastAsia"/>
                <w:sz w:val="24"/>
              </w:rPr>
              <w:t>初步掌握</w:t>
            </w:r>
            <w:r>
              <w:rPr>
                <w:rFonts w:ascii="Helvetica" w:hAnsi="Helvetica" w:cs="Helvetica"/>
                <w:sz w:val="24"/>
              </w:rPr>
              <w:t>对健康与疾病</w:t>
            </w:r>
            <w:r>
              <w:rPr>
                <w:rFonts w:ascii="Helvetica" w:hAnsi="Helvetica" w:cs="Helvetica" w:hint="eastAsia"/>
                <w:sz w:val="24"/>
              </w:rPr>
              <w:t>、医生与疾病、医生与病人以及医生与社会等方面文本认知，掌握对疾病叙事和苦痛体验为核心的阅读和书写方法，为学习相关专业课及以后实际应用提供必要的人文基础。</w:t>
            </w:r>
          </w:p>
          <w:p w:rsidR="00B77713" w:rsidRDefault="00004D97">
            <w:pPr>
              <w:widowControl/>
              <w:ind w:firstLine="480"/>
              <w:jc w:val="left"/>
              <w:rPr>
                <w:sz w:val="24"/>
              </w:rPr>
            </w:pPr>
            <w:r>
              <w:rPr>
                <w:rFonts w:ascii="Helvetica" w:hAnsi="Helvetica" w:cs="Helvetica" w:hint="eastAsia"/>
                <w:sz w:val="24"/>
              </w:rPr>
              <w:t>本课程的教学</w:t>
            </w:r>
            <w:r>
              <w:rPr>
                <w:rFonts w:ascii="Helvetica" w:hAnsi="Helvetica" w:cs="Helvetica"/>
                <w:sz w:val="24"/>
              </w:rPr>
              <w:t>目的</w:t>
            </w:r>
            <w:r>
              <w:rPr>
                <w:rFonts w:ascii="Helvetica" w:hAnsi="Helvetica" w:cs="Helvetica" w:hint="eastAsia"/>
                <w:sz w:val="24"/>
              </w:rPr>
              <w:t>，在于</w:t>
            </w:r>
            <w:r>
              <w:rPr>
                <w:rFonts w:ascii="Helvetica" w:hAnsi="Helvetica" w:cs="Helvetica"/>
                <w:sz w:val="24"/>
              </w:rPr>
              <w:t>通过</w:t>
            </w:r>
            <w:r>
              <w:rPr>
                <w:rFonts w:ascii="Helvetica" w:hAnsi="Helvetica" w:cs="Helvetica" w:hint="eastAsia"/>
                <w:sz w:val="24"/>
              </w:rPr>
              <w:t>阅读分析</w:t>
            </w:r>
            <w:r>
              <w:rPr>
                <w:rFonts w:ascii="Helvetica" w:hAnsi="Helvetica" w:cs="Helvetica"/>
                <w:sz w:val="24"/>
              </w:rPr>
              <w:t>文学</w:t>
            </w:r>
            <w:r>
              <w:rPr>
                <w:rFonts w:ascii="Helvetica" w:hAnsi="Helvetica" w:cs="Helvetica" w:hint="eastAsia"/>
                <w:sz w:val="24"/>
              </w:rPr>
              <w:t>中有关</w:t>
            </w:r>
            <w:r>
              <w:rPr>
                <w:rFonts w:hint="eastAsia"/>
                <w:color w:val="000000" w:themeColor="text1"/>
                <w:sz w:val="24"/>
              </w:rPr>
              <w:t>疾病、痛苦、衰老、死亡等作品，</w:t>
            </w:r>
            <w:r>
              <w:rPr>
                <w:rFonts w:ascii="Helvetica" w:hAnsi="Helvetica" w:cs="Helvetica" w:hint="eastAsia"/>
                <w:color w:val="000000" w:themeColor="text1"/>
                <w:sz w:val="24"/>
              </w:rPr>
              <w:t>借以</w:t>
            </w:r>
            <w:r>
              <w:rPr>
                <w:rFonts w:ascii="Helvetica" w:hAnsi="Helvetica" w:cs="Helvetica"/>
                <w:color w:val="000000" w:themeColor="text1"/>
                <w:sz w:val="24"/>
              </w:rPr>
              <w:t>提高学生对健康与疾病</w:t>
            </w:r>
            <w:r>
              <w:rPr>
                <w:rFonts w:ascii="Helvetica" w:hAnsi="Helvetica" w:cs="Helvetica" w:hint="eastAsia"/>
                <w:color w:val="000000" w:themeColor="text1"/>
                <w:sz w:val="24"/>
              </w:rPr>
              <w:t>、医生与疾病、医生与</w:t>
            </w:r>
            <w:r>
              <w:rPr>
                <w:rFonts w:ascii="Helvetica" w:hAnsi="Helvetica" w:cs="Helvetica" w:hint="eastAsia"/>
                <w:sz w:val="24"/>
              </w:rPr>
              <w:t>病人以及医生与社会等方面相</w:t>
            </w:r>
            <w:r>
              <w:rPr>
                <w:rFonts w:ascii="Helvetica" w:hAnsi="Helvetica" w:cs="Helvetica"/>
                <w:sz w:val="24"/>
              </w:rPr>
              <w:t>关的经验</w:t>
            </w:r>
            <w:r>
              <w:rPr>
                <w:rFonts w:ascii="Helvetica" w:hAnsi="Helvetica" w:cs="Helvetica" w:hint="eastAsia"/>
                <w:sz w:val="24"/>
              </w:rPr>
              <w:t>感受认知，进一步</w:t>
            </w:r>
            <w:r>
              <w:rPr>
                <w:rFonts w:hint="eastAsia"/>
                <w:sz w:val="24"/>
              </w:rPr>
              <w:t>培养学生的阅读能力、形象思维能力、叙事能力和共情能力</w:t>
            </w:r>
            <w:r>
              <w:rPr>
                <w:rFonts w:ascii="Helvetica" w:hAnsi="Helvetica" w:cs="Helvetica"/>
                <w:sz w:val="24"/>
              </w:rPr>
              <w:t>。</w:t>
            </w:r>
            <w:r>
              <w:rPr>
                <w:rFonts w:ascii="Helvetica" w:hAnsi="Helvetica" w:cs="Helvetica" w:hint="eastAsia"/>
                <w:sz w:val="24"/>
              </w:rPr>
              <w:t>具体要求如下：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、通过文学作品的阅读，培养学生的想象力、批判力思维、分析能力以及共情能力；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、通过阅读文学疾病叙事作品，以增加对疾病与患者的理解，以及病人对疾病的主观感受，从而促进学生对病人态度、疾病治疗的反思；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、文学与文学技巧可以让学生学会对医学中道德问题进行思考，进一步阐释伦理原则。</w:t>
            </w:r>
          </w:p>
          <w:p w:rsidR="00B77713" w:rsidRDefault="00B77713">
            <w:pPr>
              <w:rPr>
                <w:rFonts w:ascii="仿宋_GB2312" w:eastAsia="仿宋_GB2312"/>
              </w:rPr>
            </w:pPr>
          </w:p>
          <w:p w:rsidR="00B77713" w:rsidRDefault="00B77713">
            <w:pPr>
              <w:rPr>
                <w:rFonts w:ascii="仿宋_GB2312" w:eastAsia="仿宋_GB2312"/>
              </w:rPr>
            </w:pPr>
          </w:p>
          <w:p w:rsidR="00B77713" w:rsidRDefault="00B77713">
            <w:pPr>
              <w:rPr>
                <w:rFonts w:ascii="仿宋_GB2312" w:eastAsia="仿宋_GB2312"/>
              </w:rPr>
            </w:pPr>
          </w:p>
        </w:tc>
      </w:tr>
    </w:tbl>
    <w:p w:rsidR="00B77713" w:rsidRDefault="00004D97">
      <w:pPr>
        <w:spacing w:afterLines="50" w:after="156"/>
        <w:rPr>
          <w:rFonts w:eastAsia="黑体"/>
          <w:bCs/>
          <w:sz w:val="28"/>
          <w:szCs w:val="32"/>
        </w:rPr>
      </w:pPr>
      <w:r>
        <w:rPr>
          <w:rFonts w:eastAsia="黑体" w:hint="eastAsia"/>
          <w:bCs/>
          <w:sz w:val="28"/>
          <w:szCs w:val="32"/>
        </w:rPr>
        <w:lastRenderedPageBreak/>
        <w:t>二、课程教学内容、教学要求及学时安排</w:t>
      </w:r>
    </w:p>
    <w:tbl>
      <w:tblPr>
        <w:tblW w:w="89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1145"/>
        <w:gridCol w:w="973"/>
        <w:gridCol w:w="3151"/>
        <w:gridCol w:w="461"/>
        <w:gridCol w:w="470"/>
        <w:gridCol w:w="498"/>
        <w:gridCol w:w="461"/>
        <w:gridCol w:w="463"/>
        <w:gridCol w:w="581"/>
      </w:tblGrid>
      <w:tr w:rsidR="00B77713">
        <w:trPr>
          <w:trHeight w:val="385"/>
          <w:jc w:val="center"/>
        </w:trPr>
        <w:tc>
          <w:tcPr>
            <w:tcW w:w="757" w:type="dxa"/>
            <w:vMerge w:val="restart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序号</w:t>
            </w:r>
          </w:p>
        </w:tc>
        <w:tc>
          <w:tcPr>
            <w:tcW w:w="1145" w:type="dxa"/>
            <w:vMerge w:val="restart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 w:cs="宋体"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内容名称</w:t>
            </w:r>
          </w:p>
        </w:tc>
        <w:tc>
          <w:tcPr>
            <w:tcW w:w="4124" w:type="dxa"/>
            <w:gridSpan w:val="2"/>
            <w:vMerge w:val="restart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 w:cs="宋体"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教学内容与教学要求</w:t>
            </w:r>
          </w:p>
        </w:tc>
        <w:tc>
          <w:tcPr>
            <w:tcW w:w="2353" w:type="dxa"/>
            <w:gridSpan w:val="5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学时安排</w:t>
            </w:r>
          </w:p>
        </w:tc>
        <w:tc>
          <w:tcPr>
            <w:tcW w:w="581" w:type="dxa"/>
            <w:vMerge w:val="restart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备注</w:t>
            </w:r>
          </w:p>
        </w:tc>
      </w:tr>
      <w:tr w:rsidR="00B77713">
        <w:trPr>
          <w:trHeight w:val="341"/>
          <w:jc w:val="center"/>
        </w:trPr>
        <w:tc>
          <w:tcPr>
            <w:tcW w:w="757" w:type="dxa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145" w:type="dxa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124" w:type="dxa"/>
            <w:gridSpan w:val="2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Merge w:val="restart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总学时</w:t>
            </w:r>
          </w:p>
        </w:tc>
        <w:tc>
          <w:tcPr>
            <w:tcW w:w="1892" w:type="dxa"/>
            <w:gridSpan w:val="4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其中</w:t>
            </w:r>
          </w:p>
        </w:tc>
        <w:tc>
          <w:tcPr>
            <w:tcW w:w="581" w:type="dxa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73"/>
          <w:jc w:val="center"/>
        </w:trPr>
        <w:tc>
          <w:tcPr>
            <w:tcW w:w="757" w:type="dxa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145" w:type="dxa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124" w:type="dxa"/>
            <w:gridSpan w:val="2"/>
            <w:vMerge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Merge/>
            <w:vAlign w:val="center"/>
          </w:tcPr>
          <w:p w:rsidR="00B77713" w:rsidRDefault="00B77713">
            <w:pPr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讲授</w:t>
            </w:r>
          </w:p>
        </w:tc>
        <w:tc>
          <w:tcPr>
            <w:tcW w:w="498" w:type="dxa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实验</w:t>
            </w:r>
          </w:p>
        </w:tc>
        <w:tc>
          <w:tcPr>
            <w:tcW w:w="461" w:type="dxa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上机</w:t>
            </w:r>
          </w:p>
        </w:tc>
        <w:tc>
          <w:tcPr>
            <w:tcW w:w="463" w:type="dxa"/>
            <w:vAlign w:val="center"/>
          </w:tcPr>
          <w:p w:rsidR="00B77713" w:rsidRDefault="00004D97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其它</w:t>
            </w:r>
          </w:p>
        </w:tc>
        <w:tc>
          <w:tcPr>
            <w:tcW w:w="581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588"/>
          <w:jc w:val="center"/>
        </w:trPr>
        <w:tc>
          <w:tcPr>
            <w:tcW w:w="757" w:type="dxa"/>
            <w:vMerge w:val="restart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</w:p>
        </w:tc>
        <w:tc>
          <w:tcPr>
            <w:tcW w:w="1145" w:type="dxa"/>
            <w:vMerge w:val="restart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文学基础知识</w:t>
            </w: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文学基础知识</w:t>
            </w:r>
          </w:p>
        </w:tc>
        <w:tc>
          <w:tcPr>
            <w:tcW w:w="46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70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588"/>
          <w:jc w:val="center"/>
        </w:trPr>
        <w:tc>
          <w:tcPr>
            <w:tcW w:w="757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对文学基础知识作一了解，掌握基本的叙事、叙述知识以及文学作品阅读技巧。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重点在于叙事与叙述的区别。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 w:val="restart"/>
            <w:vAlign w:val="center"/>
          </w:tcPr>
          <w:p w:rsidR="00B77713" w:rsidRDefault="00004D97">
            <w:r>
              <w:rPr>
                <w:rFonts w:hint="eastAsia"/>
              </w:rPr>
              <w:t>2</w:t>
            </w:r>
          </w:p>
        </w:tc>
        <w:tc>
          <w:tcPr>
            <w:tcW w:w="1145" w:type="dxa"/>
            <w:vMerge w:val="restart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文学疾病叙事作品分析</w:t>
            </w: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文学疾病叙事作品分析</w:t>
            </w:r>
          </w:p>
        </w:tc>
        <w:tc>
          <w:tcPr>
            <w:tcW w:w="46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70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/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通过阅读文学疾病叙事作品，以增加对疾病与患者的理解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ascii="Helvetica" w:hAnsi="Helvetica" w:cs="Helvetica"/>
                <w:color w:val="000000" w:themeColor="text1"/>
                <w:szCs w:val="21"/>
              </w:rPr>
              <w:t>提高对健康与疾病</w:t>
            </w:r>
            <w:r>
              <w:rPr>
                <w:rFonts w:ascii="Helvetica" w:hAnsi="Helvetica" w:cs="Helvetica" w:hint="eastAsia"/>
                <w:color w:val="000000" w:themeColor="text1"/>
                <w:szCs w:val="21"/>
              </w:rPr>
              <w:t>的认识。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/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Helvetica" w:hAnsi="Helvetica" w:cs="Helvetica" w:hint="eastAsia"/>
                <w:color w:val="000000" w:themeColor="text1"/>
                <w:szCs w:val="21"/>
              </w:rPr>
              <w:t>在于</w:t>
            </w:r>
            <w:r>
              <w:rPr>
                <w:rFonts w:ascii="Helvetica" w:hAnsi="Helvetica" w:cs="Helvetica"/>
                <w:color w:val="000000" w:themeColor="text1"/>
                <w:szCs w:val="21"/>
              </w:rPr>
              <w:t>对健康与疾病</w:t>
            </w:r>
            <w:r>
              <w:rPr>
                <w:rFonts w:ascii="Helvetica" w:hAnsi="Helvetica" w:cs="Helvetica" w:hint="eastAsia"/>
                <w:color w:val="000000" w:themeColor="text1"/>
                <w:szCs w:val="21"/>
              </w:rPr>
              <w:t>的认识。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 w:val="restart"/>
            <w:vAlign w:val="center"/>
          </w:tcPr>
          <w:p w:rsidR="00B77713" w:rsidRDefault="00004D97">
            <w:r>
              <w:rPr>
                <w:rFonts w:hint="eastAsia"/>
              </w:rPr>
              <w:t>3</w:t>
            </w:r>
          </w:p>
        </w:tc>
        <w:tc>
          <w:tcPr>
            <w:tcW w:w="1145" w:type="dxa"/>
            <w:vMerge w:val="restart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医生作家关于行医治病的散文小说作品分析</w:t>
            </w: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医生作家关于行医治病的散文小说作品分析</w:t>
            </w:r>
          </w:p>
        </w:tc>
        <w:tc>
          <w:tcPr>
            <w:tcW w:w="46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70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/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通过对</w:t>
            </w:r>
            <w:r>
              <w:rPr>
                <w:rFonts w:hint="eastAsia"/>
                <w:szCs w:val="21"/>
              </w:rPr>
              <w:t>医生作家关于行医治病的散文小说作品分析</w:t>
            </w:r>
            <w:r>
              <w:rPr>
                <w:rFonts w:hint="eastAsia"/>
                <w:szCs w:val="21"/>
              </w:rPr>
              <w:t>，提高对</w:t>
            </w:r>
            <w:r>
              <w:rPr>
                <w:rFonts w:ascii="Helvetica" w:hAnsi="Helvetica" w:cs="Helvetica" w:hint="eastAsia"/>
                <w:color w:val="000000" w:themeColor="text1"/>
                <w:szCs w:val="21"/>
              </w:rPr>
              <w:t>医生与疾病、医生与</w:t>
            </w:r>
            <w:r>
              <w:rPr>
                <w:rFonts w:ascii="Helvetica" w:hAnsi="Helvetica" w:cs="Helvetica" w:hint="eastAsia"/>
                <w:szCs w:val="21"/>
              </w:rPr>
              <w:t>病人</w:t>
            </w:r>
            <w:r>
              <w:rPr>
                <w:rFonts w:ascii="Helvetica" w:hAnsi="Helvetica" w:cs="Helvetica" w:hint="eastAsia"/>
                <w:szCs w:val="21"/>
              </w:rPr>
              <w:t>的认识与理解。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/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在于对</w:t>
            </w:r>
            <w:r>
              <w:rPr>
                <w:rFonts w:ascii="Helvetica" w:hAnsi="Helvetica" w:cs="Helvetica" w:hint="eastAsia"/>
                <w:color w:val="000000" w:themeColor="text1"/>
                <w:szCs w:val="21"/>
              </w:rPr>
              <w:t>医生与疾病、医生与</w:t>
            </w:r>
            <w:r>
              <w:rPr>
                <w:rFonts w:ascii="Helvetica" w:hAnsi="Helvetica" w:cs="Helvetica" w:hint="eastAsia"/>
                <w:szCs w:val="21"/>
              </w:rPr>
              <w:t>病人</w:t>
            </w:r>
            <w:r>
              <w:rPr>
                <w:rFonts w:ascii="Helvetica" w:hAnsi="Helvetica" w:cs="Helvetica" w:hint="eastAsia"/>
                <w:szCs w:val="21"/>
              </w:rPr>
              <w:t>的认识与理解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 w:val="restart"/>
            <w:vAlign w:val="center"/>
          </w:tcPr>
          <w:p w:rsidR="00B77713" w:rsidRDefault="00004D97">
            <w:r>
              <w:rPr>
                <w:rFonts w:hint="eastAsia"/>
              </w:rPr>
              <w:t>4</w:t>
            </w:r>
          </w:p>
        </w:tc>
        <w:tc>
          <w:tcPr>
            <w:tcW w:w="1145" w:type="dxa"/>
            <w:vMerge w:val="restart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患者关于疾苦以及重建被疾病摧毁的身份的叙事作品分析</w:t>
            </w: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患者关于疾苦以及重建被疾病摧毁的身份的叙事作品分析</w:t>
            </w:r>
          </w:p>
        </w:tc>
        <w:tc>
          <w:tcPr>
            <w:tcW w:w="46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70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/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通过</w:t>
            </w:r>
            <w:r>
              <w:rPr>
                <w:rFonts w:hint="eastAsia"/>
                <w:szCs w:val="21"/>
              </w:rPr>
              <w:t>患者关于疾苦以及重建被疾病摧毁的身份的叙事作品分析</w:t>
            </w:r>
            <w:r>
              <w:rPr>
                <w:rFonts w:hint="eastAsia"/>
                <w:szCs w:val="21"/>
              </w:rPr>
              <w:t>，切实体验</w:t>
            </w:r>
            <w:r>
              <w:rPr>
                <w:rFonts w:hint="eastAsia"/>
                <w:szCs w:val="21"/>
              </w:rPr>
              <w:t>病人对疾病的主观感受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/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在于体验</w:t>
            </w:r>
            <w:r>
              <w:rPr>
                <w:rFonts w:hint="eastAsia"/>
                <w:szCs w:val="21"/>
              </w:rPr>
              <w:t>病人对疾病的主观感受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 w:val="restart"/>
            <w:vAlign w:val="center"/>
          </w:tcPr>
          <w:p w:rsidR="00B77713" w:rsidRDefault="00004D97">
            <w:r>
              <w:rPr>
                <w:rFonts w:hint="eastAsia"/>
              </w:rPr>
              <w:t>5</w:t>
            </w:r>
          </w:p>
        </w:tc>
        <w:tc>
          <w:tcPr>
            <w:tcW w:w="1145" w:type="dxa"/>
            <w:vMerge w:val="restart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叙事写作</w:t>
            </w: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1"/>
              </w:rPr>
              <w:t>叙事写作</w:t>
            </w:r>
          </w:p>
        </w:tc>
        <w:tc>
          <w:tcPr>
            <w:tcW w:w="461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70" w:type="dxa"/>
            <w:vAlign w:val="center"/>
          </w:tcPr>
          <w:p w:rsidR="00B77713" w:rsidRDefault="00004D97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/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结合相关医学主题，学会叙事基本写作。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77713">
        <w:trPr>
          <w:trHeight w:val="640"/>
          <w:jc w:val="center"/>
        </w:trPr>
        <w:tc>
          <w:tcPr>
            <w:tcW w:w="757" w:type="dxa"/>
            <w:vMerge/>
            <w:vAlign w:val="center"/>
          </w:tcPr>
          <w:p w:rsidR="00B77713" w:rsidRDefault="00B77713"/>
        </w:tc>
        <w:tc>
          <w:tcPr>
            <w:tcW w:w="1145" w:type="dxa"/>
            <w:vMerge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73" w:type="dxa"/>
            <w:vAlign w:val="center"/>
          </w:tcPr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B77713" w:rsidRDefault="00004D97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151" w:type="dxa"/>
            <w:vAlign w:val="center"/>
          </w:tcPr>
          <w:p w:rsidR="00B77713" w:rsidRDefault="00004D97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不同主题不同情景的叙事写作</w:t>
            </w: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63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1" w:type="dxa"/>
            <w:vAlign w:val="center"/>
          </w:tcPr>
          <w:p w:rsidR="00B77713" w:rsidRDefault="00B77713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B77713" w:rsidRDefault="00004D97">
      <w:pPr>
        <w:widowControl/>
        <w:spacing w:line="360" w:lineRule="auto"/>
        <w:ind w:firstLineChars="200" w:firstLine="420"/>
        <w:rPr>
          <w:rFonts w:ascii="??" w:hAnsi="??" w:cs="宋体"/>
          <w:color w:val="000000"/>
          <w:kern w:val="0"/>
          <w:szCs w:val="21"/>
        </w:rPr>
      </w:pPr>
      <w:r>
        <w:rPr>
          <w:rFonts w:ascii="??" w:hAnsi="??" w:cs="宋体" w:hint="eastAsia"/>
          <w:color w:val="000000"/>
          <w:kern w:val="0"/>
          <w:szCs w:val="21"/>
        </w:rPr>
        <w:lastRenderedPageBreak/>
        <w:t>.</w:t>
      </w:r>
    </w:p>
    <w:p w:rsidR="00B77713" w:rsidRDefault="00004D97">
      <w:pPr>
        <w:spacing w:line="600" w:lineRule="exact"/>
        <w:rPr>
          <w:rFonts w:ascii="??" w:hAnsi="??" w:cs="宋体"/>
          <w:b/>
          <w:color w:val="FF0000"/>
          <w:kern w:val="0"/>
          <w:sz w:val="22"/>
        </w:rPr>
      </w:pPr>
      <w:r>
        <w:rPr>
          <w:rFonts w:eastAsia="黑体" w:hint="eastAsia"/>
          <w:bCs/>
          <w:sz w:val="28"/>
          <w:szCs w:val="32"/>
        </w:rPr>
        <w:t>三、教材、参考书与其它学习资源</w:t>
      </w:r>
    </w:p>
    <w:p w:rsidR="00B77713" w:rsidRDefault="00004D97">
      <w:pPr>
        <w:spacing w:line="600" w:lineRule="exact"/>
        <w:rPr>
          <w:rFonts w:ascii="宋体" w:hAnsi="宋体" w:cs="宋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>（一）教材</w:t>
      </w:r>
      <w:r>
        <w:rPr>
          <w:rFonts w:ascii="黑体" w:eastAsia="黑体" w:hAnsi="黑体" w:hint="eastAsia"/>
          <w:bCs/>
          <w:sz w:val="24"/>
          <w:szCs w:val="32"/>
        </w:rPr>
        <w:t xml:space="preserve">  </w:t>
      </w:r>
      <w:r>
        <w:rPr>
          <w:rFonts w:ascii="宋体" w:hAnsi="宋体" w:cs="宋体" w:hint="eastAsia"/>
          <w:bCs/>
          <w:sz w:val="24"/>
          <w:szCs w:val="32"/>
        </w:rPr>
        <w:t>《文学与医学作品选读论》</w:t>
      </w:r>
    </w:p>
    <w:p w:rsidR="00B77713" w:rsidRDefault="00004D97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>（二）参考书</w:t>
      </w:r>
      <w:r>
        <w:rPr>
          <w:rFonts w:ascii="黑体" w:eastAsia="黑体" w:hAnsi="黑体" w:hint="eastAsia"/>
          <w:bCs/>
          <w:sz w:val="24"/>
          <w:szCs w:val="32"/>
        </w:rPr>
        <w:t xml:space="preserve">  </w:t>
      </w:r>
    </w:p>
    <w:p w:rsidR="00B77713" w:rsidRDefault="00004D97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>（三）其它学习资源</w:t>
      </w:r>
    </w:p>
    <w:tbl>
      <w:tblPr>
        <w:tblW w:w="87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3095"/>
        <w:gridCol w:w="2667"/>
      </w:tblGrid>
      <w:tr w:rsidR="00B77713">
        <w:trPr>
          <w:trHeight w:val="517"/>
          <w:jc w:val="center"/>
        </w:trPr>
        <w:tc>
          <w:tcPr>
            <w:tcW w:w="3001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大纲执笔</w:t>
            </w:r>
          </w:p>
        </w:tc>
        <w:tc>
          <w:tcPr>
            <w:tcW w:w="3095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大纲审核</w:t>
            </w:r>
          </w:p>
        </w:tc>
        <w:tc>
          <w:tcPr>
            <w:tcW w:w="2667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大纲审定</w:t>
            </w:r>
          </w:p>
        </w:tc>
      </w:tr>
      <w:tr w:rsidR="00B77713">
        <w:trPr>
          <w:trHeight w:val="553"/>
          <w:jc w:val="center"/>
        </w:trPr>
        <w:tc>
          <w:tcPr>
            <w:tcW w:w="3001" w:type="dxa"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095" w:type="dxa"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vAlign w:val="center"/>
          </w:tcPr>
          <w:p w:rsidR="00B77713" w:rsidRDefault="00B77713">
            <w:pPr>
              <w:jc w:val="center"/>
              <w:rPr>
                <w:rFonts w:ascii="仿宋_GB2312" w:eastAsia="仿宋_GB2312"/>
              </w:rPr>
            </w:pPr>
          </w:p>
        </w:tc>
      </w:tr>
      <w:tr w:rsidR="00B77713">
        <w:trPr>
          <w:trHeight w:val="553"/>
          <w:jc w:val="center"/>
        </w:trPr>
        <w:tc>
          <w:tcPr>
            <w:tcW w:w="3001" w:type="dxa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制定时间</w:t>
            </w:r>
          </w:p>
        </w:tc>
        <w:tc>
          <w:tcPr>
            <w:tcW w:w="5762" w:type="dxa"/>
            <w:gridSpan w:val="2"/>
            <w:vAlign w:val="center"/>
          </w:tcPr>
          <w:p w:rsidR="00B77713" w:rsidRDefault="00004D9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年月日</w:t>
            </w:r>
          </w:p>
        </w:tc>
      </w:tr>
    </w:tbl>
    <w:p w:rsidR="00B77713" w:rsidRDefault="00B77713"/>
    <w:p w:rsidR="00B77713" w:rsidRDefault="00004D97">
      <w:pPr>
        <w:rPr>
          <w:rFonts w:ascii="仿宋_GB2312" w:eastAsia="仿宋_GB2312"/>
          <w:color w:val="000000"/>
        </w:rPr>
      </w:pPr>
      <w:r>
        <w:rPr>
          <w:rFonts w:ascii="仿宋_GB2312" w:eastAsia="仿宋_GB2312" w:hAnsi="宋体" w:hint="eastAsia"/>
          <w:color w:val="000000"/>
        </w:rPr>
        <w:t>注意：填写完成后将文档名称修改为“学校名称</w:t>
      </w:r>
      <w:r>
        <w:rPr>
          <w:rFonts w:ascii="仿宋_GB2312" w:eastAsia="仿宋_GB2312" w:hAnsi="宋体" w:hint="eastAsia"/>
          <w:color w:val="000000"/>
        </w:rPr>
        <w:t>_</w:t>
      </w:r>
      <w:r>
        <w:rPr>
          <w:rFonts w:ascii="仿宋_GB2312" w:eastAsia="仿宋_GB2312" w:hAnsi="宋体" w:hint="eastAsia"/>
          <w:color w:val="000000"/>
        </w:rPr>
        <w:t>课程名称”，例如“华东交通大学</w:t>
      </w:r>
      <w:r>
        <w:rPr>
          <w:rFonts w:ascii="仿宋_GB2312" w:eastAsia="仿宋_GB2312" w:hAnsi="宋体" w:hint="eastAsia"/>
          <w:color w:val="000000"/>
        </w:rPr>
        <w:t>_</w:t>
      </w:r>
      <w:r>
        <w:rPr>
          <w:rFonts w:ascii="仿宋_GB2312" w:eastAsia="仿宋_GB2312" w:hAnsi="宋体" w:hint="eastAsia"/>
          <w:color w:val="000000"/>
        </w:rPr>
        <w:t>编程方法与实现”。</w:t>
      </w:r>
    </w:p>
    <w:p w:rsidR="00B77713" w:rsidRDefault="00004D97" w:rsidP="00BB79F8">
      <w:pPr>
        <w:jc w:val="left"/>
        <w:rPr>
          <w:rFonts w:ascii="仿宋_GB2312" w:eastAsia="仿宋_GB2312"/>
          <w:color w:val="000000"/>
          <w:sz w:val="24"/>
        </w:rPr>
      </w:pPr>
      <w:r>
        <w:rPr>
          <w:rFonts w:ascii="仿宋" w:eastAsia="仿宋" w:hAnsi="仿宋" w:cs="仿宋"/>
          <w:color w:val="000000"/>
          <w:sz w:val="24"/>
        </w:rPr>
        <w:br w:type="page"/>
      </w:r>
      <w:bookmarkStart w:id="0" w:name="_GoBack"/>
      <w:bookmarkEnd w:id="0"/>
    </w:p>
    <w:p w:rsidR="00B77713" w:rsidRDefault="00B77713"/>
    <w:sectPr w:rsidR="00B77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D97" w:rsidRDefault="00004D97" w:rsidP="00946DE2">
      <w:r>
        <w:separator/>
      </w:r>
    </w:p>
  </w:endnote>
  <w:endnote w:type="continuationSeparator" w:id="0">
    <w:p w:rsidR="00004D97" w:rsidRDefault="00004D97" w:rsidP="0094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D97" w:rsidRDefault="00004D97" w:rsidP="00946DE2">
      <w:r>
        <w:separator/>
      </w:r>
    </w:p>
  </w:footnote>
  <w:footnote w:type="continuationSeparator" w:id="0">
    <w:p w:rsidR="00004D97" w:rsidRDefault="00004D97" w:rsidP="00946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1A65237"/>
    <w:rsid w:val="00004D97"/>
    <w:rsid w:val="00946DE2"/>
    <w:rsid w:val="00B77713"/>
    <w:rsid w:val="00BB79F8"/>
    <w:rsid w:val="02C066C2"/>
    <w:rsid w:val="10EF1AF5"/>
    <w:rsid w:val="31A65237"/>
    <w:rsid w:val="37225829"/>
    <w:rsid w:val="71AA631F"/>
    <w:rsid w:val="77B14A32"/>
    <w:rsid w:val="7F2C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087ED2-2974-4ED4-A532-452231C2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tyle2">
    <w:name w:val="_Style 2"/>
    <w:basedOn w:val="a"/>
    <w:uiPriority w:val="34"/>
    <w:qFormat/>
    <w:pPr>
      <w:ind w:firstLineChars="200" w:firstLine="420"/>
    </w:pPr>
    <w:rPr>
      <w:szCs w:val="22"/>
    </w:rPr>
  </w:style>
  <w:style w:type="paragraph" w:styleId="a4">
    <w:name w:val="header"/>
    <w:basedOn w:val="a"/>
    <w:link w:val="a5"/>
    <w:rsid w:val="00946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46DE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Lenovo.LL</dc:creator>
  <cp:lastModifiedBy>Administrator</cp:lastModifiedBy>
  <cp:revision>3</cp:revision>
  <dcterms:created xsi:type="dcterms:W3CDTF">2018-01-02T00:19:00Z</dcterms:created>
  <dcterms:modified xsi:type="dcterms:W3CDTF">2018-01-02T00:20:00Z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