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firstLine="0"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pStyle w:val="7"/>
        <w:spacing w:before="120" w:beforeLines="50" w:after="120" w:afterLines="50" w:line="600" w:lineRule="exact"/>
        <w:ind w:firstLine="0" w:firstLineChars="0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《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水文化概论</w:t>
      </w:r>
      <w:r>
        <w:rPr>
          <w:rFonts w:hint="eastAsia" w:ascii="方正小标宋简体" w:hAnsi="宋体" w:eastAsia="方正小标宋简体"/>
          <w:sz w:val="44"/>
          <w:szCs w:val="44"/>
        </w:rPr>
        <w:t>》课程教学大纲</w:t>
      </w:r>
    </w:p>
    <w:p>
      <w:pPr>
        <w:spacing w:after="120" w:afterLines="50"/>
        <w:rPr>
          <w:rFonts w:ascii="??" w:hAnsi="??" w:cs="宋体"/>
          <w:b/>
          <w:color w:val="000000"/>
          <w:kern w:val="0"/>
          <w:sz w:val="22"/>
        </w:rPr>
      </w:pPr>
      <w:r>
        <w:rPr>
          <w:rFonts w:hint="eastAsia" w:eastAsia="黑体"/>
          <w:bCs/>
          <w:sz w:val="28"/>
          <w:szCs w:val="32"/>
        </w:rPr>
        <w:t>一、课程基本信息</w:t>
      </w:r>
    </w:p>
    <w:tbl>
      <w:tblPr>
        <w:tblStyle w:val="6"/>
        <w:tblW w:w="8631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68"/>
        <w:gridCol w:w="425"/>
        <w:gridCol w:w="713"/>
        <w:gridCol w:w="2477"/>
        <w:gridCol w:w="103"/>
        <w:gridCol w:w="748"/>
        <w:gridCol w:w="302"/>
        <w:gridCol w:w="932"/>
        <w:gridCol w:w="175"/>
        <w:gridCol w:w="717"/>
        <w:gridCol w:w="13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开课学校</w:t>
            </w:r>
          </w:p>
        </w:tc>
        <w:tc>
          <w:tcPr>
            <w:tcW w:w="361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南昌工程学院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院系</w:t>
            </w:r>
          </w:p>
        </w:tc>
        <w:tc>
          <w:tcPr>
            <w:tcW w:w="3471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马克思主义学院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课程名称</w:t>
            </w:r>
          </w:p>
        </w:tc>
        <w:tc>
          <w:tcPr>
            <w:tcW w:w="361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《水文化概论》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color w:val="auto"/>
              </w:rPr>
              <w:t>课程英文名称</w:t>
            </w:r>
          </w:p>
        </w:tc>
        <w:tc>
          <w:tcPr>
            <w:tcW w:w="3471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Introduction o</w:t>
            </w:r>
            <w:r>
              <w:rPr>
                <w:rFonts w:hint="eastAsia" w:ascii="仿宋_GB2312" w:eastAsia="仿宋_GB2312"/>
                <w:lang w:val="en-US" w:eastAsia="zh-CN"/>
              </w:rPr>
              <w:t>f</w:t>
            </w:r>
            <w:r>
              <w:rPr>
                <w:rFonts w:hint="eastAsia" w:ascii="仿宋_GB2312" w:eastAsia="仿宋_GB2312"/>
              </w:rPr>
              <w:t xml:space="preserve"> water culture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color w:val="auto"/>
              </w:rPr>
              <w:t>课程编号</w:t>
            </w:r>
          </w:p>
        </w:tc>
        <w:tc>
          <w:tcPr>
            <w:tcW w:w="361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030420038</w:t>
            </w:r>
            <w:bookmarkStart w:id="0" w:name="_GoBack"/>
            <w:bookmarkEnd w:id="0"/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学时</w:t>
            </w:r>
          </w:p>
        </w:tc>
        <w:tc>
          <w:tcPr>
            <w:tcW w:w="1409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16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学分</w:t>
            </w:r>
          </w:p>
        </w:tc>
        <w:tc>
          <w:tcPr>
            <w:tcW w:w="13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694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课程类型</w:t>
            </w:r>
          </w:p>
        </w:tc>
        <w:tc>
          <w:tcPr>
            <w:tcW w:w="3615" w:type="dxa"/>
            <w:gridSpan w:val="3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微软雅黑" w:hAnsi="微软雅黑" w:eastAsia="微软雅黑" w:cs="微软雅黑"/>
              </w:rPr>
              <w:t>●</w:t>
            </w:r>
            <w:r>
              <w:rPr>
                <w:rFonts w:hint="eastAsia" w:ascii="仿宋_GB2312" w:eastAsia="仿宋_GB2312"/>
              </w:rPr>
              <w:t>通识课○公共基础课</w:t>
            </w:r>
          </w:p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○学科基础课○专业课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课程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属性</w:t>
            </w:r>
          </w:p>
        </w:tc>
        <w:tc>
          <w:tcPr>
            <w:tcW w:w="1409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○必修课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微软雅黑" w:hAnsi="微软雅黑" w:eastAsia="微软雅黑" w:cs="微软雅黑"/>
              </w:rPr>
              <w:t>●</w:t>
            </w:r>
            <w:r>
              <w:rPr>
                <w:rFonts w:hint="eastAsia" w:ascii="仿宋_GB2312" w:eastAsia="仿宋_GB2312"/>
              </w:rPr>
              <w:t>选修课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考核方式</w:t>
            </w:r>
          </w:p>
        </w:tc>
        <w:tc>
          <w:tcPr>
            <w:tcW w:w="13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○考试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微软雅黑" w:hAnsi="微软雅黑" w:eastAsia="微软雅黑" w:cs="微软雅黑"/>
              </w:rPr>
              <w:t>●</w:t>
            </w:r>
            <w:r>
              <w:rPr>
                <w:rFonts w:hint="eastAsia" w:ascii="仿宋_GB2312" w:eastAsia="仿宋_GB2312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适用专业</w:t>
            </w:r>
          </w:p>
        </w:tc>
        <w:tc>
          <w:tcPr>
            <w:tcW w:w="7937" w:type="dxa"/>
            <w:gridSpan w:val="10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水利工程、水资源、土木工程、园林、城市规划、农学、旅游管理、文学、历史学等专业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先修课程</w:t>
            </w:r>
          </w:p>
        </w:tc>
        <w:tc>
          <w:tcPr>
            <w:tcW w:w="7937" w:type="dxa"/>
            <w:gridSpan w:val="10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1" w:type="dxa"/>
            <w:gridSpan w:val="1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成绩评定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119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微软雅黑" w:hAnsi="微软雅黑" w:eastAsia="微软雅黑" w:cs="微软雅黑"/>
              </w:rPr>
              <w:t>●</w:t>
            </w:r>
            <w:r>
              <w:rPr>
                <w:rFonts w:hint="eastAsia" w:ascii="仿宋_GB2312" w:eastAsia="仿宋_GB2312"/>
              </w:rPr>
              <w:t>百分制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○五级制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○两级制</w:t>
            </w:r>
          </w:p>
        </w:tc>
        <w:tc>
          <w:tcPr>
            <w:tcW w:w="6167" w:type="dxa"/>
            <w:gridSpan w:val="8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平时考核成绩比例（</w:t>
            </w:r>
            <w:r>
              <w:rPr>
                <w:rFonts w:hint="eastAsia" w:ascii="仿宋_GB2312" w:eastAsia="仿宋_GB2312"/>
                <w:lang w:val="en-US" w:eastAsia="zh-CN"/>
              </w:rPr>
              <w:t>60</w:t>
            </w:r>
            <w:r>
              <w:rPr>
                <w:rFonts w:hint="eastAsia" w:ascii="仿宋_GB2312" w:eastAsia="仿宋_GB2312"/>
              </w:rPr>
              <w:t>）%，其中：</w:t>
            </w:r>
          </w:p>
        </w:tc>
        <w:tc>
          <w:tcPr>
            <w:tcW w:w="134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期末考核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成绩比例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hint="eastAsia" w:ascii="仿宋_GB2312" w:eastAsia="仿宋_GB2312"/>
                <w:lang w:val="en-US" w:eastAsia="zh-CN"/>
              </w:rPr>
              <w:t>40</w:t>
            </w:r>
            <w:r>
              <w:rPr>
                <w:rFonts w:hint="eastAsia" w:ascii="仿宋_GB2312" w:eastAsia="仿宋_GB2312"/>
              </w:rPr>
              <w:t>）%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119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??" w:eastAsia="仿宋_GB2312" w:cs="宋体"/>
                <w:kern w:val="0"/>
                <w:szCs w:val="21"/>
              </w:rPr>
              <w:t>项目</w:t>
            </w:r>
          </w:p>
        </w:tc>
        <w:tc>
          <w:tcPr>
            <w:tcW w:w="258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学习进度+章测试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见面课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lang w:eastAsia="zh-CN"/>
              </w:rPr>
              <w:t>论坛</w:t>
            </w:r>
          </w:p>
        </w:tc>
        <w:tc>
          <w:tcPr>
            <w:tcW w:w="89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119" w:type="dxa"/>
            <w:gridSpan w:val="3"/>
            <w:vMerge w:val="continue"/>
            <w:vAlign w:val="center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??" w:eastAsia="仿宋_GB2312" w:cs="宋体"/>
                <w:kern w:val="0"/>
                <w:szCs w:val="21"/>
              </w:rPr>
              <w:t>权重</w:t>
            </w:r>
          </w:p>
        </w:tc>
        <w:tc>
          <w:tcPr>
            <w:tcW w:w="2580" w:type="dxa"/>
            <w:gridSpan w:val="2"/>
            <w:vAlign w:val="center"/>
          </w:tcPr>
          <w:p>
            <w:pPr>
              <w:ind w:firstLine="210" w:firstLineChars="100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35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ind w:firstLine="210" w:firstLineChars="100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20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5</w:t>
            </w:r>
          </w:p>
        </w:tc>
        <w:tc>
          <w:tcPr>
            <w:tcW w:w="892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" w:type="dxa"/>
            <w:vAlign w:val="center"/>
          </w:tcPr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课程简介</w:t>
            </w:r>
          </w:p>
        </w:tc>
        <w:tc>
          <w:tcPr>
            <w:tcW w:w="8205" w:type="dxa"/>
            <w:gridSpan w:val="11"/>
            <w:shd w:val="clear" w:color="auto" w:fill="auto"/>
            <w:vAlign w:val="top"/>
          </w:tcPr>
          <w:p>
            <w:pPr>
              <w:tabs>
                <w:tab w:val="left" w:pos="2505"/>
              </w:tabs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ind w:firstLine="420" w:firstLineChars="200"/>
              <w:jc w:val="both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“上善若水”，是人类对水的人生哲学思考。水是生命之源、生产之要、生态之基，是当今人类面临水危机发出的社会强音。人类在长期的兴水利、除水害过程中积淀了丰厚的物质财富和精神财富，这些财富就是水文化。水文化历史悠久，渊源流长，博大精深，是传统文化百花园中一朵奇葩。水文化作为一门新兴学科，涉及面广，体系庞大，主要讲授十大部分：第一章绪论，主要介绍水文化的内涵、体系、本质、特征及功能等；第二章水文化哲学思考，主要讲述水与哲学、水与政治、水与经济、水与生活等理性思考内容；第三、四、五、六章分别讲述物态水文化、精神水文化、制度水文化、行为水文化四个理论层面内容，构架了水文化结构中理论内容；第七、八、九、十章分别讲述河流水文化、湖泊水文化、海洋水文化、水文化遗产四个专题层面内容，构建了水文化结构中专题内容。每章分为若干个小节，每小节之间逻辑衔接，相互关联，展现出水文化结构完整、体系健全。整个课程教学，采用“问题式教学方法”，突出重点，化解难点，启发思考，有目的地传承与弘扬优秀的传统水文化，培育与提升全民族的水意识，助推水生态文明社会建设进程。课程内容将用精美的图片、唯美的画面展示水文化现象，以严密的逻辑展现水文化结构体系，以精练的语言讲述水文化内容，以问题式教学引导水文化思考，以水论道，以水为师，以水成事，崇尚水德，为生态文明建设锦上添花！</w:t>
            </w:r>
          </w:p>
          <w:p>
            <w:pPr>
              <w:ind w:firstLine="420" w:firstLineChars="200"/>
              <w:jc w:val="both"/>
              <w:rPr>
                <w:rFonts w:hint="eastAsia" w:ascii="仿宋_GB2312" w:eastAsia="仿宋_GB2312"/>
                <w:lang w:val="en-US" w:eastAsia="zh-CN"/>
              </w:rPr>
            </w:pPr>
          </w:p>
        </w:tc>
      </w:tr>
    </w:tbl>
    <w:p>
      <w:pPr>
        <w:spacing w:after="120" w:afterLines="50"/>
        <w:rPr>
          <w:rFonts w:eastAsia="黑体"/>
          <w:bCs/>
          <w:sz w:val="28"/>
          <w:szCs w:val="32"/>
        </w:rPr>
      </w:pPr>
      <w:r>
        <w:rPr>
          <w:rFonts w:hint="eastAsia" w:eastAsia="黑体"/>
          <w:bCs/>
          <w:sz w:val="28"/>
          <w:szCs w:val="32"/>
        </w:rPr>
        <w:t>二、课程教学内容、教学要求及学时安排</w:t>
      </w:r>
    </w:p>
    <w:tbl>
      <w:tblPr>
        <w:tblStyle w:val="6"/>
        <w:tblW w:w="8721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114"/>
        <w:gridCol w:w="947"/>
        <w:gridCol w:w="3068"/>
        <w:gridCol w:w="449"/>
        <w:gridCol w:w="457"/>
        <w:gridCol w:w="485"/>
        <w:gridCol w:w="449"/>
        <w:gridCol w:w="449"/>
        <w:gridCol w:w="5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序号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color w:val="FF0000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内容名称</w:t>
            </w:r>
          </w:p>
        </w:tc>
        <w:tc>
          <w:tcPr>
            <w:tcW w:w="401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color w:val="FF0000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教学内容与教学要求</w:t>
            </w:r>
          </w:p>
        </w:tc>
        <w:tc>
          <w:tcPr>
            <w:tcW w:w="2289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学时安排</w:t>
            </w:r>
          </w:p>
        </w:tc>
        <w:tc>
          <w:tcPr>
            <w:tcW w:w="566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015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总学时</w:t>
            </w:r>
          </w:p>
        </w:tc>
        <w:tc>
          <w:tcPr>
            <w:tcW w:w="1840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其中</w:t>
            </w:r>
          </w:p>
        </w:tc>
        <w:tc>
          <w:tcPr>
            <w:tcW w:w="56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015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Merge w:val="continue"/>
            <w:vAlign w:val="center"/>
          </w:tcPr>
          <w:p>
            <w:pPr>
              <w:rPr>
                <w:rFonts w:hint="eastAsia" w:ascii="黑体" w:hAnsi="黑体" w:eastAsia="黑体"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讲授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实验</w:t>
            </w:r>
          </w:p>
        </w:tc>
        <w:tc>
          <w:tcPr>
            <w:tcW w:w="449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上机</w:t>
            </w:r>
          </w:p>
        </w:tc>
        <w:tc>
          <w:tcPr>
            <w:tcW w:w="449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其它</w:t>
            </w:r>
          </w:p>
        </w:tc>
        <w:tc>
          <w:tcPr>
            <w:tcW w:w="566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绪论</w:t>
            </w: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内容</w:t>
            </w:r>
          </w:p>
        </w:tc>
        <w:tc>
          <w:tcPr>
            <w:tcW w:w="30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1.1 水文化的概念；1.2 水文化的体系与本质；1.3 水文化的特性与功能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√</w:t>
            </w: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要求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理解水文化的概念，掌握水文化体系、本质、特性和功能，达到初步认识水文化内涵。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重点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难点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  <w:t>重点是水文化的概念，难点是水文化的体系与本质。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水文化的哲学思考</w:t>
            </w: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内容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孕育生命之水</w:t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；2.2 水与经济；2.3 水与生活；2.4 水与政治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√</w:t>
            </w: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要求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从哲学高度来理解水文化的重要性，理解水是生命之源的命题，了解水与经济、生活、政治之间的密切关系。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重点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难点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  <w:t>重点是水与生命，难点是水与政治。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物态水文化</w:t>
            </w: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内容</w:t>
            </w:r>
          </w:p>
        </w:tc>
        <w:tc>
          <w:tcPr>
            <w:tcW w:w="30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 水形态；3.2 水环境；3.3 水工程；3.4 水工具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√</w:t>
            </w: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√</w:t>
            </w: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要求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理解物态水文化的内涵，了解泉水、瀑布、冰雪等水形态、水环境所具有的文化内涵；了解郑国渠、京杭大运河等水利工程的文化内涵；了解水利器具、水利机械所具有的文化内涵。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重点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难点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  <w:t>重点是物态水文化的概念，难点是水利工程、水环境的文化内涵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精神水文化</w:t>
            </w: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内容</w:t>
            </w:r>
          </w:p>
        </w:tc>
        <w:tc>
          <w:tcPr>
            <w:tcW w:w="30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4.1 水精神；4.2 水文学；4.3 水艺术；4.4 水民俗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√</w:t>
            </w: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√</w:t>
            </w: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要求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理解精神水文化的内涵，掌握大禹治水精神、现代抗洪精神、水利行业精神等，了解水与文学、水与艺术、水与民俗之间密切关系。 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重点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难点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  <w:t>重点是精神水文化的概念，难点是水精神和水民俗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制度水文化</w:t>
            </w: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内容</w:t>
            </w:r>
          </w:p>
        </w:tc>
        <w:tc>
          <w:tcPr>
            <w:tcW w:w="30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 水权制度；5.2 水利法规；5.3 水利组织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√</w:t>
            </w: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要求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理解制度水文化的内涵，掌握水权制度、水资源所有权、水利法规等相关知识，了解官方与民间水利组织的形成、发展、影响及作用。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重点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难点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  <w:t>重点是制度水文化的内涵，难点是水权制度和民间水利组织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行为水文化</w:t>
            </w: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内容</w:t>
            </w:r>
          </w:p>
        </w:tc>
        <w:tc>
          <w:tcPr>
            <w:tcW w:w="30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6.1 亲水文化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√</w:t>
            </w: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要求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理解行为水文化的内涵，掌握亲水文化、亲水休闲、水利旅游等相关知识，增加爱水、护水、惜水的意识与行为。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重点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难点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  <w:t>重点是行为水文化的内涵，难点是亲水意识。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7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河流水文化</w:t>
            </w: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内容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7.1 文明的起源——河流；7.2 水运文化；7.3 水运码头；7.4 河流的开发与利用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√</w:t>
            </w: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要求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理解河流水文化的内涵，了解尼罗河、两河流域、印度河、黄河、长江等是文明的摇篮；了解河流的水运文化、河流的开发与利用等相关知识。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重点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难点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  <w:t>重点是河流水文化的内涵，难点是河流水文化的开发利用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湖泊水文化</w:t>
            </w: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内容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8.1 湖泊之最与成因；8.2 湖泊人家；8.3 湖泊的开发与利用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√</w:t>
            </w: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要求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理解湖泊水文化的内涵，掌握湖泊的分类、成因、功能等相关知识，了解湖泊人家的民风民俗，了解湖泊的开发与利用。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重点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难点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  <w:t>重点是湖泊水文化的内涵，难点是湖泊水文化的开发利用。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9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海洋水文化</w:t>
            </w: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内容</w:t>
            </w:r>
          </w:p>
        </w:tc>
        <w:tc>
          <w:tcPr>
            <w:tcW w:w="30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9.1 航海文化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√</w:t>
            </w: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要求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理解海洋水文化的内涵，了解历史上的航海文化等水文化知识。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重点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难点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  <w:t>重点是郑和七下西洋的文化意义，难点是海洋水文化的内涵。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</w:t>
            </w: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0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水文化遗产</w:t>
            </w: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内容</w:t>
            </w:r>
          </w:p>
        </w:tc>
        <w:tc>
          <w:tcPr>
            <w:tcW w:w="30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10.1 水文化遗产的基本常识；10.2 水文化遗产的保护及存在问题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√</w:t>
            </w: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</w:rPr>
              <w:t>√</w:t>
            </w: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要求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理解水文化遗产的内涵，掌握水文化遗产的基本常识，了解都江堰、福寿沟、红旗渠等水文化遗产相关知识。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重点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难点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18"/>
                <w:szCs w:val="18"/>
                <w:lang w:eastAsia="zh-CN"/>
              </w:rPr>
              <w:t>重点是水文化遗产的内涵，难点是水文化遗产类型与重要价值。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420" w:firstLineChars="200"/>
        <w:rPr>
          <w:rFonts w:ascii="??" w:hAnsi="??" w:cs="宋体"/>
          <w:color w:val="000000"/>
          <w:kern w:val="0"/>
          <w:szCs w:val="21"/>
        </w:rPr>
      </w:pPr>
    </w:p>
    <w:p>
      <w:pPr>
        <w:spacing w:line="600" w:lineRule="exact"/>
        <w:rPr>
          <w:rFonts w:ascii="??" w:hAnsi="??" w:cs="宋体"/>
          <w:b/>
          <w:color w:val="FF0000"/>
          <w:kern w:val="0"/>
          <w:sz w:val="22"/>
        </w:rPr>
      </w:pPr>
      <w:r>
        <w:rPr>
          <w:rFonts w:hint="eastAsia" w:eastAsia="黑体"/>
          <w:bCs/>
          <w:sz w:val="28"/>
          <w:szCs w:val="32"/>
        </w:rPr>
        <w:t>三、教材、参考书与其它学习资源</w:t>
      </w:r>
    </w:p>
    <w:p>
      <w:pPr>
        <w:spacing w:line="600" w:lineRule="exact"/>
        <w:rPr>
          <w:rFonts w:hint="eastAsia" w:ascii="黑体" w:hAnsi="黑体" w:eastAsia="黑体"/>
          <w:bCs/>
          <w:sz w:val="24"/>
          <w:szCs w:val="32"/>
        </w:rPr>
      </w:pPr>
      <w:r>
        <w:rPr>
          <w:rFonts w:hint="eastAsia" w:ascii="黑体" w:hAnsi="黑体" w:eastAsia="黑体"/>
          <w:bCs/>
          <w:sz w:val="24"/>
          <w:szCs w:val="32"/>
        </w:rPr>
        <w:t>（一）教材</w:t>
      </w:r>
    </w:p>
    <w:p>
      <w:pPr>
        <w:spacing w:line="360" w:lineRule="auto"/>
        <w:jc w:val="left"/>
        <w:rPr>
          <w:rFonts w:hint="eastAsia" w:ascii="仿宋_GB2312" w:eastAsia="仿宋_GB2312"/>
          <w:bCs/>
          <w:szCs w:val="21"/>
          <w:lang w:eastAsia="zh-CN"/>
        </w:rPr>
      </w:pPr>
      <w:r>
        <w:rPr>
          <w:rFonts w:hint="eastAsia" w:ascii="仿宋_GB2312" w:eastAsia="仿宋_GB2312"/>
          <w:bCs/>
          <w:szCs w:val="21"/>
          <w:lang w:eastAsia="zh-CN"/>
        </w:rPr>
        <w:t>《水文化概论》教材正在编写过程中。</w:t>
      </w:r>
    </w:p>
    <w:p>
      <w:pPr>
        <w:spacing w:line="600" w:lineRule="exact"/>
        <w:rPr>
          <w:rFonts w:hint="eastAsia" w:ascii="黑体" w:hAnsi="黑体" w:eastAsia="黑体"/>
          <w:bCs/>
          <w:sz w:val="24"/>
          <w:szCs w:val="32"/>
        </w:rPr>
      </w:pPr>
      <w:r>
        <w:rPr>
          <w:rFonts w:hint="eastAsia" w:ascii="黑体" w:hAnsi="黑体" w:eastAsia="黑体"/>
          <w:bCs/>
          <w:sz w:val="24"/>
          <w:szCs w:val="32"/>
        </w:rPr>
        <w:t>（二）参考书</w:t>
      </w:r>
    </w:p>
    <w:p>
      <w:pPr>
        <w:spacing w:line="360" w:lineRule="auto"/>
        <w:jc w:val="left"/>
        <w:rPr>
          <w:rFonts w:hint="eastAsia" w:ascii="仿宋_GB2312" w:eastAsia="仿宋_GB2312"/>
          <w:bCs/>
          <w:szCs w:val="21"/>
          <w:lang w:val="en-US" w:eastAsia="zh-CN"/>
        </w:rPr>
      </w:pPr>
      <w:r>
        <w:rPr>
          <w:rFonts w:hint="eastAsia" w:ascii="仿宋_GB2312" w:eastAsia="仿宋_GB2312"/>
          <w:bCs/>
          <w:szCs w:val="21"/>
          <w:lang w:val="en-US" w:eastAsia="zh-CN"/>
        </w:rPr>
        <w:t>1.</w:t>
      </w:r>
      <w:r>
        <w:rPr>
          <w:rFonts w:hint="eastAsia" w:ascii="仿宋_GB2312" w:eastAsia="仿宋_GB2312"/>
          <w:bCs/>
          <w:szCs w:val="21"/>
          <w:lang w:eastAsia="zh-CN"/>
        </w:rPr>
        <w:t>李水弟、高週全主编：《大学生水文化教育》，中国水利水电出版社</w:t>
      </w:r>
      <w:r>
        <w:rPr>
          <w:rFonts w:hint="eastAsia" w:ascii="仿宋_GB2312" w:eastAsia="仿宋_GB2312"/>
          <w:bCs/>
          <w:szCs w:val="21"/>
          <w:lang w:val="en-US" w:eastAsia="zh-CN"/>
        </w:rPr>
        <w:t>2014年。</w:t>
      </w:r>
    </w:p>
    <w:p>
      <w:pPr>
        <w:spacing w:line="360" w:lineRule="auto"/>
        <w:jc w:val="left"/>
        <w:rPr>
          <w:rFonts w:hint="eastAsia" w:ascii="仿宋_GB2312" w:eastAsia="仿宋_GB2312"/>
          <w:bCs/>
          <w:szCs w:val="21"/>
          <w:lang w:val="en-US" w:eastAsia="zh-CN"/>
        </w:rPr>
      </w:pPr>
      <w:r>
        <w:rPr>
          <w:rFonts w:hint="eastAsia" w:ascii="仿宋_GB2312" w:eastAsia="仿宋_GB2312"/>
          <w:bCs/>
          <w:szCs w:val="21"/>
          <w:lang w:val="en-US" w:eastAsia="zh-CN"/>
        </w:rPr>
        <w:t>2.中国水利文学艺术协会编：《中华水文化概论》，黄河出版社2008年。</w:t>
      </w:r>
    </w:p>
    <w:p>
      <w:pPr>
        <w:spacing w:line="360" w:lineRule="auto"/>
        <w:jc w:val="left"/>
        <w:rPr>
          <w:rFonts w:hint="eastAsia" w:ascii="仿宋_GB2312" w:eastAsia="仿宋_GB2312"/>
          <w:bCs/>
          <w:szCs w:val="21"/>
          <w:lang w:val="en-US" w:eastAsia="zh-CN"/>
        </w:rPr>
      </w:pPr>
      <w:r>
        <w:rPr>
          <w:rFonts w:hint="eastAsia" w:ascii="仿宋_GB2312" w:eastAsia="仿宋_GB2312"/>
          <w:bCs/>
          <w:szCs w:val="21"/>
          <w:lang w:val="en-US" w:eastAsia="zh-CN"/>
        </w:rPr>
        <w:t>3.靳怀堾主编：《中华水文化通论》，中国水利水电出版社2015年。</w:t>
      </w:r>
    </w:p>
    <w:p>
      <w:pPr>
        <w:spacing w:line="600" w:lineRule="exact"/>
        <w:rPr>
          <w:rFonts w:ascii="黑体" w:hAnsi="黑体" w:eastAsia="黑体"/>
          <w:bCs/>
          <w:sz w:val="24"/>
          <w:szCs w:val="32"/>
        </w:rPr>
      </w:pPr>
      <w:r>
        <w:rPr>
          <w:rFonts w:hint="eastAsia" w:ascii="黑体" w:hAnsi="黑体" w:eastAsia="黑体"/>
          <w:bCs/>
          <w:sz w:val="24"/>
          <w:szCs w:val="32"/>
        </w:rPr>
        <w:t>（三）其它学习资源</w:t>
      </w:r>
    </w:p>
    <w:tbl>
      <w:tblPr>
        <w:tblStyle w:val="6"/>
        <w:tblW w:w="8763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1"/>
        <w:gridCol w:w="3095"/>
        <w:gridCol w:w="26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300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大纲执笔</w:t>
            </w: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大纲审核</w:t>
            </w:r>
          </w:p>
        </w:tc>
        <w:tc>
          <w:tcPr>
            <w:tcW w:w="266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大纲审定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00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lang w:eastAsia="zh-CN"/>
              </w:rPr>
              <w:t>温乐平</w:t>
            </w: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lang w:eastAsia="zh-CN"/>
              </w:rPr>
              <w:t>李水弟</w:t>
            </w:r>
          </w:p>
        </w:tc>
        <w:tc>
          <w:tcPr>
            <w:tcW w:w="266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lang w:eastAsia="zh-CN"/>
              </w:rPr>
              <w:t>陈娇云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00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</w:rPr>
              <w:t>制定时间</w:t>
            </w:r>
          </w:p>
        </w:tc>
        <w:tc>
          <w:tcPr>
            <w:tcW w:w="576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auto"/>
              </w:rPr>
            </w:pPr>
            <w:r>
              <w:rPr>
                <w:rFonts w:hint="eastAsia" w:ascii="仿宋_GB2312" w:eastAsia="仿宋_GB2312"/>
                <w:color w:val="auto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color w:val="auto"/>
              </w:rPr>
              <w:t>年</w:t>
            </w:r>
            <w:r>
              <w:rPr>
                <w:rFonts w:hint="eastAsia" w:ascii="仿宋_GB2312" w:eastAsia="仿宋_GB2312"/>
                <w:color w:val="auto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color w:val="auto"/>
              </w:rPr>
              <w:t>月</w:t>
            </w:r>
            <w:r>
              <w:rPr>
                <w:rFonts w:hint="eastAsia" w:ascii="仿宋_GB2312" w:eastAsia="仿宋_GB2312"/>
                <w:color w:val="auto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color w:val="auto"/>
              </w:rPr>
              <w:t>日</w:t>
            </w:r>
          </w:p>
        </w:tc>
      </w:tr>
    </w:tbl>
    <w:p/>
    <w:p>
      <w:pPr>
        <w:rPr>
          <w:rFonts w:hint="eastAsia" w:ascii="仿宋_GB2312" w:eastAsia="仿宋_GB2312"/>
          <w:color w:val="000000"/>
        </w:rPr>
      </w:pPr>
      <w:r>
        <w:rPr>
          <w:rFonts w:hint="eastAsia" w:ascii="仿宋_GB2312" w:hAnsi="宋体" w:eastAsia="仿宋_GB2312"/>
          <w:color w:val="000000"/>
        </w:rPr>
        <w:t>注意：填写完成后将文档名称修改为“学校名称_课程名称”，例如“华东交通大学_编程方法与实现”。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Heiti SC">
    <w:altName w:val="宋体"/>
    <w:panose1 w:val="00000000000000000000"/>
    <w:charset w:val="86"/>
    <w:family w:val="auto"/>
    <w:pitch w:val="default"/>
    <w:sig w:usb0="00000000" w:usb1="00000000" w:usb2="00000010" w:usb3="00000000" w:csb0="003E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TJ+ZCRILt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CRILt-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DLF-32769-3-64442360+ZCRIOs-25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CRIL8-2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CRINs-17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dobeHeitiStd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DLF-32769-4-2050886970+ZCRIOs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8-453-299596778+ZCRIOs-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Songti SC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ZWAdobeF">
    <w:panose1 w:val="00000000000000000000"/>
    <w:charset w:val="00"/>
    <w:family w:val="auto"/>
    <w:pitch w:val="default"/>
    <w:sig w:usb0="00000001" w:usb1="00000000" w:usb2="00000000" w:usb3="00000000" w:csb0="400001FF" w:csb1="FFFF0000"/>
  </w:font>
  <w:font w:name="Lucida Sans Unicode">
    <w:altName w:val="Lucida Sans"/>
    <w:panose1 w:val="020B0602030504020204"/>
    <w:charset w:val="00"/>
    <w:family w:val="swiss"/>
    <w:pitch w:val="default"/>
    <w:sig w:usb0="00000000" w:usb1="00000000" w:usb2="00000000" w:usb3="00000000" w:csb0="200000BF" w:csb1="D7F7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Lucida Sans">
    <w:panose1 w:val="020B0602040502020204"/>
    <w:charset w:val="00"/>
    <w:family w:val="auto"/>
    <w:pitch w:val="default"/>
    <w:sig w:usb0="A1002AEF" w:usb1="8000787B" w:usb2="00000008" w:usb3="00000000" w:csb0="600100FF" w:csb1="FFFF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C2443D"/>
    <w:rsid w:val="00321078"/>
    <w:rsid w:val="0A8C5224"/>
    <w:rsid w:val="2AC63910"/>
    <w:rsid w:val="2C933B9D"/>
    <w:rsid w:val="33586F0A"/>
    <w:rsid w:val="3D203836"/>
    <w:rsid w:val="4A135E15"/>
    <w:rsid w:val="4D7C45AF"/>
    <w:rsid w:val="5AA24EC6"/>
    <w:rsid w:val="5AF45143"/>
    <w:rsid w:val="5D72208B"/>
    <w:rsid w:val="62DC2E49"/>
    <w:rsid w:val="66D54D5D"/>
    <w:rsid w:val="670A1D44"/>
    <w:rsid w:val="6E282AEC"/>
    <w:rsid w:val="71C2443D"/>
    <w:rsid w:val="72C565F3"/>
    <w:rsid w:val="77671DCF"/>
    <w:rsid w:val="794B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2017-12-26T05:03:00Z</dcterms:created>
  <dc:creator>鹿鸣</dc:creator>
  <cp:lastModifiedBy>鹿鸣</cp:lastModifiedBy>
  <dcterms:modified xsi:type="dcterms:W3CDTF">2017-12-27T07:04:25Z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