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val="en-US" w:eastAsia="zh-CN"/>
        </w:rPr>
        <w:t>中国传统手工艺</w:t>
      </w:r>
      <w:r>
        <w:rPr>
          <w:rFonts w:hint="eastAsia"/>
          <w:b/>
          <w:sz w:val="44"/>
          <w:szCs w:val="44"/>
        </w:rPr>
        <w:t>》课程教学大纲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698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301"/>
        <w:gridCol w:w="1031"/>
        <w:gridCol w:w="1430"/>
        <w:gridCol w:w="850"/>
        <w:gridCol w:w="10"/>
        <w:gridCol w:w="860"/>
        <w:gridCol w:w="219"/>
        <w:gridCol w:w="641"/>
        <w:gridCol w:w="644"/>
        <w:gridCol w:w="217"/>
        <w:gridCol w:w="528"/>
        <w:gridCol w:w="12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开课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学校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江西科技师范大学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院系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美术学院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名称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中国民间传统手工艺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课程英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文名称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编号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14106546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学时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30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类型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√通识课○公共基础课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○学科基础课○专业课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属性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○必修课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√选修课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考核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√考试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适用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专业</w:t>
            </w:r>
          </w:p>
        </w:tc>
        <w:tc>
          <w:tcPr>
            <w:tcW w:w="8003" w:type="dxa"/>
            <w:gridSpan w:val="1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艺术学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先修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</w:tc>
        <w:tc>
          <w:tcPr>
            <w:tcW w:w="8003" w:type="dxa"/>
            <w:gridSpan w:val="1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98" w:type="dxa"/>
            <w:gridSpan w:val="1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成绩评定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○百分制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○五级制</w:t>
            </w:r>
          </w:p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○两级制</w:t>
            </w:r>
          </w:p>
        </w:tc>
        <w:tc>
          <w:tcPr>
            <w:tcW w:w="5902" w:type="dxa"/>
            <w:gridSpan w:val="9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平时考核成绩比例（30）%，其中：</w:t>
            </w:r>
          </w:p>
        </w:tc>
        <w:tc>
          <w:tcPr>
            <w:tcW w:w="1800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期末考核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成绩比例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（70）%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996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项目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平时及作业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考勤</w:t>
            </w:r>
          </w:p>
        </w:tc>
        <w:tc>
          <w:tcPr>
            <w:tcW w:w="86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96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权重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20%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10%</w:t>
            </w:r>
          </w:p>
        </w:tc>
        <w:tc>
          <w:tcPr>
            <w:tcW w:w="86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996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简</w:t>
            </w:r>
          </w:p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介</w:t>
            </w:r>
          </w:p>
        </w:tc>
        <w:tc>
          <w:tcPr>
            <w:tcW w:w="7702" w:type="dxa"/>
            <w:gridSpan w:val="11"/>
            <w:tcMar>
              <w:left w:w="51" w:type="dxa"/>
              <w:right w:w="51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本课程可以在大类上划归为视觉艺术范畴，同时具有艺术修养的综合素质性。因此建设的目标是创建一门高质量的横跨“艺术设计”、“工艺美术设计”、等设计类专业国内共享的课程。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设计原则：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课程从文化的视角分析中国民间艺术，以高质量的教学内容讲述中国传统手工的思维意匠，洞察其中蕴含的优秀文化与民间智慧，从而启发学生受众的文化自觉与创意思维。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现多元化教学手段。通过视频授课，文献荐引，亲历实践等教学手段，保证了良好的教学质量与教学效果；通过课程中启发性课题的讨论，提高学生的学习积极性，调动学生对于教学改革的参与意识，有利对学生创造性、综合性素质的培养；借提高传统艺术在设计教学中的重要地位和作用，以完善我们教学课程，推动设计教学向深层次、全方位发展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课程特色：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课程分设循序渐进，环节相抑，趣味性丰富。授课内容涉及民俗人文，传授与民间工艺有接轨的创作手段，课程的本身具备独特价值，生命周期更为长久。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  <w:p>
            <w:pPr>
              <w:widowControl/>
              <w:spacing w:line="400" w:lineRule="exact"/>
              <w:ind w:firstLine="520" w:firstLineChars="20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</w:tbl>
    <w:p>
      <w:pPr>
        <w:rPr>
          <w:rFonts w:ascii="黑体" w:eastAsia="黑体" w:cs="黑体"/>
          <w:kern w:val="0"/>
          <w:sz w:val="28"/>
          <w:szCs w:val="28"/>
        </w:rPr>
      </w:pPr>
      <w:r>
        <w:rPr>
          <w:rFonts w:hint="eastAsia" w:ascii="黑体" w:eastAsia="黑体" w:cs="黑体"/>
          <w:kern w:val="0"/>
          <w:sz w:val="28"/>
          <w:szCs w:val="28"/>
        </w:rPr>
        <w:t>二、课程教学内容、教学要求及学时安排</w:t>
      </w:r>
    </w:p>
    <w:tbl>
      <w:tblPr>
        <w:tblStyle w:val="7"/>
        <w:tblW w:w="911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"/>
        <w:gridCol w:w="1230"/>
        <w:gridCol w:w="645"/>
        <w:gridCol w:w="3765"/>
        <w:gridCol w:w="375"/>
        <w:gridCol w:w="510"/>
        <w:gridCol w:w="435"/>
        <w:gridCol w:w="240"/>
        <w:gridCol w:w="375"/>
        <w:gridCol w:w="12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序号</w:t>
            </w:r>
          </w:p>
        </w:tc>
        <w:tc>
          <w:tcPr>
            <w:tcW w:w="1230" w:type="dxa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内容名称</w:t>
            </w:r>
          </w:p>
        </w:tc>
        <w:tc>
          <w:tcPr>
            <w:tcW w:w="4410" w:type="dxa"/>
            <w:gridSpan w:val="2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教学内容与教学要求</w:t>
            </w:r>
          </w:p>
        </w:tc>
        <w:tc>
          <w:tcPr>
            <w:tcW w:w="1935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学时安排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备</w:t>
            </w:r>
          </w:p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4410" w:type="dxa"/>
            <w:gridSpan w:val="2"/>
            <w:vMerge w:val="continue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6"/>
                <w:szCs w:val="26"/>
              </w:rPr>
            </w:pPr>
          </w:p>
        </w:tc>
        <w:tc>
          <w:tcPr>
            <w:tcW w:w="375" w:type="dxa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总</w:t>
            </w:r>
          </w:p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学</w:t>
            </w:r>
          </w:p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时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其中</w:t>
            </w:r>
          </w:p>
        </w:tc>
        <w:tc>
          <w:tcPr>
            <w:tcW w:w="1200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4410" w:type="dxa"/>
            <w:gridSpan w:val="2"/>
            <w:vMerge w:val="continue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6"/>
                <w:szCs w:val="26"/>
              </w:rPr>
            </w:pPr>
          </w:p>
        </w:tc>
        <w:tc>
          <w:tcPr>
            <w:tcW w:w="375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讲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授</w:t>
            </w:r>
          </w:p>
        </w:tc>
        <w:tc>
          <w:tcPr>
            <w:tcW w:w="43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实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验</w:t>
            </w:r>
          </w:p>
        </w:tc>
        <w:tc>
          <w:tcPr>
            <w:tcW w:w="24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上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机</w:t>
            </w:r>
          </w:p>
        </w:tc>
        <w:tc>
          <w:tcPr>
            <w:tcW w:w="37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其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他</w:t>
            </w:r>
          </w:p>
        </w:tc>
        <w:tc>
          <w:tcPr>
            <w:tcW w:w="1200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33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1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中国民间传统手工艺</w:t>
            </w:r>
          </w:p>
        </w:tc>
        <w:tc>
          <w:tcPr>
            <w:tcW w:w="645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3765" w:type="dxa"/>
            <w:vAlign w:val="center"/>
          </w:tcPr>
          <w:p>
            <w:pPr>
              <w:spacing w:line="400" w:lineRule="exact"/>
              <w:rPr>
                <w:rFonts w:ascii="仿宋_GB2312" w:eastAsia="仿宋_GB2312" w:cs="黑体" w:hAnsiTheme="majorEastAsia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引导学生通过学习来了解中国传统民间工艺的民族特点，发展的状况，掌握民间工艺的历史、别类、材料特征、表现手法、造型原则、用色特点。培养学生掌握各种表现语言实践能力，启发学生的创作思维。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</w:tc>
        <w:tc>
          <w:tcPr>
            <w:tcW w:w="37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是</w:t>
            </w:r>
          </w:p>
        </w:tc>
        <w:tc>
          <w:tcPr>
            <w:tcW w:w="43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37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645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3765" w:type="dxa"/>
            <w:vAlign w:val="center"/>
          </w:tcPr>
          <w:p>
            <w:pPr>
              <w:spacing w:line="400" w:lineRule="exact"/>
              <w:rPr>
                <w:rFonts w:ascii="仿宋_GB2312" w:eastAsia="仿宋_GB2312" w:cs="黑体" w:hAnsiTheme="majorEastAsia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指导当代学生把握处理好继承和创新的关系，处理好传统文化与当今时代的关系，积极回应时代的需求和挑战,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</w:tc>
        <w:tc>
          <w:tcPr>
            <w:tcW w:w="37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435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是</w:t>
            </w:r>
          </w:p>
        </w:tc>
        <w:tc>
          <w:tcPr>
            <w:tcW w:w="24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37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120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645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3765" w:type="dxa"/>
            <w:vAlign w:val="center"/>
          </w:tcPr>
          <w:p>
            <w:pPr>
              <w:spacing w:line="400" w:lineRule="exact"/>
              <w:rPr>
                <w:rFonts w:ascii="仿宋_GB2312" w:eastAsia="仿宋_GB2312" w:cs="黑体" w:hAnsiTheme="majorEastAsia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普及手工艺技术，响应国家保留文创类价值指示，提高学生群体对传统文化的认同感。使当代设计者的艺术理念归于本质，有根可循。</w:t>
            </w:r>
          </w:p>
        </w:tc>
        <w:tc>
          <w:tcPr>
            <w:tcW w:w="37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435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375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是</w:t>
            </w:r>
          </w:p>
        </w:tc>
        <w:tc>
          <w:tcPr>
            <w:tcW w:w="1200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提出文化创意的衔接点</w:t>
            </w:r>
          </w:p>
        </w:tc>
      </w:tr>
    </w:tbl>
    <w:p>
      <w:pPr>
        <w:rPr>
          <w:rFonts w:ascii="黑体" w:eastAsia="黑体" w:cs="黑体"/>
          <w:kern w:val="0"/>
          <w:sz w:val="28"/>
          <w:szCs w:val="28"/>
        </w:rPr>
      </w:pPr>
      <w:r>
        <w:rPr>
          <w:rFonts w:hint="eastAsia" w:ascii="黑体" w:eastAsia="黑体" w:cs="黑体"/>
          <w:kern w:val="0"/>
          <w:sz w:val="28"/>
          <w:szCs w:val="28"/>
        </w:rPr>
        <w:t>三、教材、参考书与其它学习资源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hint="eastAsia" w:ascii="黑体" w:eastAsia="黑体" w:cs="黑体"/>
          <w:kern w:val="0"/>
          <w:sz w:val="24"/>
          <w:szCs w:val="24"/>
        </w:rPr>
        <w:t>（一）教材：无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hint="eastAsia" w:ascii="黑体" w:eastAsia="黑体" w:cs="黑体"/>
          <w:kern w:val="0"/>
          <w:sz w:val="24"/>
          <w:szCs w:val="24"/>
        </w:rPr>
        <w:t>（二）参考书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hint="eastAsia" w:ascii="黑体" w:eastAsia="黑体" w:cs="黑体"/>
          <w:kern w:val="0"/>
          <w:sz w:val="24"/>
          <w:szCs w:val="24"/>
        </w:rPr>
        <w:t>（三）其它学习资源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大纲执笔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大纲审核</w:t>
            </w:r>
          </w:p>
        </w:tc>
        <w:tc>
          <w:tcPr>
            <w:tcW w:w="2841" w:type="dxa"/>
          </w:tcPr>
          <w:p>
            <w:pPr>
              <w:rPr>
                <w:rFonts w:ascii="仿宋_GB2312" w:eastAsia="仿宋_GB2312"/>
                <w:color w:val="FF0000"/>
                <w:sz w:val="26"/>
                <w:szCs w:val="26"/>
              </w:rPr>
            </w:pPr>
            <w:r>
              <w:rPr>
                <w:rFonts w:hint="eastAsia" w:ascii="仿宋_GB2312" w:eastAsia="仿宋_GB2312" w:cs="仿宋"/>
                <w:kern w:val="0"/>
                <w:sz w:val="26"/>
                <w:szCs w:val="26"/>
              </w:rPr>
              <w:t>大纲审定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84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2841" w:type="dxa"/>
          </w:tcPr>
          <w:p>
            <w:pPr>
              <w:rPr>
                <w:rFonts w:ascii="仿宋_GB2312" w:eastAsia="仿宋_GB2312"/>
                <w:color w:val="FF000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制定时间</w:t>
            </w:r>
          </w:p>
        </w:tc>
        <w:tc>
          <w:tcPr>
            <w:tcW w:w="5682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年月日</w:t>
            </w:r>
          </w:p>
        </w:tc>
      </w:tr>
    </w:tbl>
    <w:p>
      <w:pPr>
        <w:spacing w:beforeLines="50"/>
        <w:rPr>
          <w:rFonts w:ascii="仿宋_GB2312" w:eastAsia="仿宋_GB2312"/>
          <w:sz w:val="23"/>
        </w:rPr>
      </w:pPr>
      <w:r>
        <w:rPr>
          <w:rFonts w:hint="eastAsia" w:ascii="仿宋_GB2312" w:eastAsia="仿宋_GB2312"/>
          <w:sz w:val="23"/>
        </w:rPr>
        <w:t>注意：填写完成后将文档名称修改为“学校名称_课程名称”，例如“华东交通大学_编程方法与实现”。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51"/>
    <w:rsid w:val="00041BE2"/>
    <w:rsid w:val="000435F8"/>
    <w:rsid w:val="0005544D"/>
    <w:rsid w:val="0008029D"/>
    <w:rsid w:val="00090A6A"/>
    <w:rsid w:val="000F3200"/>
    <w:rsid w:val="00112CFA"/>
    <w:rsid w:val="0019187C"/>
    <w:rsid w:val="00265544"/>
    <w:rsid w:val="00266C14"/>
    <w:rsid w:val="00304FC7"/>
    <w:rsid w:val="00407A4F"/>
    <w:rsid w:val="00467779"/>
    <w:rsid w:val="0048179C"/>
    <w:rsid w:val="00597628"/>
    <w:rsid w:val="005A2351"/>
    <w:rsid w:val="00662D33"/>
    <w:rsid w:val="006A1CA0"/>
    <w:rsid w:val="006B3ED0"/>
    <w:rsid w:val="00710E5B"/>
    <w:rsid w:val="00741B14"/>
    <w:rsid w:val="007D08B0"/>
    <w:rsid w:val="008804D2"/>
    <w:rsid w:val="008A739D"/>
    <w:rsid w:val="008B705B"/>
    <w:rsid w:val="008C5ED9"/>
    <w:rsid w:val="008F5D51"/>
    <w:rsid w:val="00996F74"/>
    <w:rsid w:val="009D22A7"/>
    <w:rsid w:val="009F7438"/>
    <w:rsid w:val="00A2409D"/>
    <w:rsid w:val="00A6323C"/>
    <w:rsid w:val="00A7452F"/>
    <w:rsid w:val="00A83ED0"/>
    <w:rsid w:val="00AC794E"/>
    <w:rsid w:val="00B17B05"/>
    <w:rsid w:val="00B30F39"/>
    <w:rsid w:val="00B73281"/>
    <w:rsid w:val="00BA44B1"/>
    <w:rsid w:val="00BF2DAA"/>
    <w:rsid w:val="00C51453"/>
    <w:rsid w:val="00CC7686"/>
    <w:rsid w:val="00DA7DED"/>
    <w:rsid w:val="00DB36F9"/>
    <w:rsid w:val="00DC5040"/>
    <w:rsid w:val="00F24943"/>
    <w:rsid w:val="011C17DC"/>
    <w:rsid w:val="0AF8286B"/>
    <w:rsid w:val="0F5247C1"/>
    <w:rsid w:val="39C60803"/>
    <w:rsid w:val="3C65409B"/>
    <w:rsid w:val="41455273"/>
    <w:rsid w:val="43C32CB9"/>
    <w:rsid w:val="64AE725E"/>
    <w:rsid w:val="65457D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73</Words>
  <Characters>417</Characters>
  <Lines>3</Lines>
  <Paragraphs>1</Paragraphs>
  <ScaleCrop>false</ScaleCrop>
  <LinksUpToDate>false</LinksUpToDate>
  <CharactersWithSpaces>489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2017-12-29T00:45:00Z</dcterms:created>
  <dc:creator>Administrator</dc:creator>
  <cp:lastModifiedBy>Administrator</cp:lastModifiedBy>
  <cp:lastPrinted>2017-12-25T08:48:00Z</cp:lastPrinted>
  <dcterms:modified xsi:type="dcterms:W3CDTF">2018-01-10T05:57:52Z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