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《会计学原理》课程教学大纲</w:t>
      </w:r>
    </w:p>
    <w:p>
      <w:pPr>
        <w:rPr>
          <w:rFonts w:ascii="黑体" w:hAnsi="黑体" w:eastAsia="黑体"/>
          <w:sz w:val="28"/>
          <w:szCs w:val="28"/>
        </w:rPr>
      </w:pPr>
      <w:r>
        <w:rPr>
          <w:rFonts w:hint="eastAsia" w:ascii="黑体" w:hAnsi="黑体" w:eastAsia="黑体"/>
          <w:sz w:val="28"/>
          <w:szCs w:val="28"/>
        </w:rPr>
        <w:t>一、课程基本信息</w:t>
      </w:r>
    </w:p>
    <w:tbl>
      <w:tblPr>
        <w:tblStyle w:val="7"/>
        <w:tblW w:w="8698"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95"/>
        <w:gridCol w:w="301"/>
        <w:gridCol w:w="760"/>
        <w:gridCol w:w="1134"/>
        <w:gridCol w:w="850"/>
        <w:gridCol w:w="851"/>
        <w:gridCol w:w="805"/>
        <w:gridCol w:w="190"/>
        <w:gridCol w:w="1095"/>
        <w:gridCol w:w="217"/>
        <w:gridCol w:w="528"/>
        <w:gridCol w:w="12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80" w:hRule="exact"/>
          <w:jc w:val="center"/>
        </w:trPr>
        <w:tc>
          <w:tcPr>
            <w:tcW w:w="695"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开课</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学校</w:t>
            </w:r>
          </w:p>
        </w:tc>
        <w:tc>
          <w:tcPr>
            <w:tcW w:w="3045" w:type="dxa"/>
            <w:gridSpan w:val="4"/>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江西财经大学</w:t>
            </w:r>
          </w:p>
        </w:tc>
        <w:tc>
          <w:tcPr>
            <w:tcW w:w="1656" w:type="dxa"/>
            <w:gridSpan w:val="2"/>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院系</w:t>
            </w:r>
          </w:p>
        </w:tc>
        <w:tc>
          <w:tcPr>
            <w:tcW w:w="3302" w:type="dxa"/>
            <w:gridSpan w:val="5"/>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会计学院会计系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80" w:hRule="exact"/>
          <w:jc w:val="center"/>
        </w:trPr>
        <w:tc>
          <w:tcPr>
            <w:tcW w:w="695"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课程</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名称</w:t>
            </w:r>
          </w:p>
        </w:tc>
        <w:tc>
          <w:tcPr>
            <w:tcW w:w="3045" w:type="dxa"/>
            <w:gridSpan w:val="4"/>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会计学原理</w:t>
            </w:r>
          </w:p>
        </w:tc>
        <w:tc>
          <w:tcPr>
            <w:tcW w:w="1656" w:type="dxa"/>
            <w:gridSpan w:val="2"/>
            <w:tcMar>
              <w:left w:w="51" w:type="dxa"/>
              <w:right w:w="51" w:type="dxa"/>
            </w:tcMar>
            <w:vAlign w:val="center"/>
          </w:tcPr>
          <w:p>
            <w:pPr>
              <w:autoSpaceDE w:val="0"/>
              <w:autoSpaceDN w:val="0"/>
              <w:adjustRightInd w:val="0"/>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课程英</w:t>
            </w:r>
          </w:p>
          <w:p>
            <w:pPr>
              <w:autoSpaceDE w:val="0"/>
              <w:autoSpaceDN w:val="0"/>
              <w:adjustRightInd w:val="0"/>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文名称</w:t>
            </w:r>
          </w:p>
        </w:tc>
        <w:tc>
          <w:tcPr>
            <w:tcW w:w="3302" w:type="dxa"/>
            <w:gridSpan w:val="5"/>
            <w:tcMar>
              <w:left w:w="51" w:type="dxa"/>
              <w:right w:w="51" w:type="dxa"/>
            </w:tcMar>
            <w:vAlign w:val="center"/>
          </w:tcPr>
          <w:p>
            <w:pPr>
              <w:spacing w:line="280" w:lineRule="exact"/>
              <w:jc w:val="center"/>
              <w:rPr>
                <w:rFonts w:ascii="Times New Roman" w:hAnsi="Times New Roman" w:eastAsia="仿宋_GB2312" w:cs="Times New Roman"/>
                <w:sz w:val="26"/>
                <w:szCs w:val="24"/>
              </w:rPr>
            </w:pPr>
            <w:r>
              <w:rPr>
                <w:rFonts w:ascii="Times New Roman" w:hAnsi="Times New Roman" w:eastAsia="仿宋_GB2312" w:cs="Times New Roman"/>
                <w:sz w:val="26"/>
                <w:szCs w:val="24"/>
              </w:rPr>
              <w:t>Accounting Principle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80" w:hRule="exact"/>
          <w:jc w:val="center"/>
        </w:trPr>
        <w:tc>
          <w:tcPr>
            <w:tcW w:w="695"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课程</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编号</w:t>
            </w:r>
          </w:p>
        </w:tc>
        <w:tc>
          <w:tcPr>
            <w:tcW w:w="3045" w:type="dxa"/>
            <w:gridSpan w:val="4"/>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02704</w:t>
            </w:r>
          </w:p>
        </w:tc>
        <w:tc>
          <w:tcPr>
            <w:tcW w:w="1656" w:type="dxa"/>
            <w:gridSpan w:val="2"/>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学时</w:t>
            </w:r>
          </w:p>
        </w:tc>
        <w:tc>
          <w:tcPr>
            <w:tcW w:w="1285" w:type="dxa"/>
            <w:gridSpan w:val="2"/>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72</w:t>
            </w:r>
          </w:p>
        </w:tc>
        <w:tc>
          <w:tcPr>
            <w:tcW w:w="745" w:type="dxa"/>
            <w:gridSpan w:val="2"/>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学分</w:t>
            </w:r>
          </w:p>
        </w:tc>
        <w:tc>
          <w:tcPr>
            <w:tcW w:w="1272"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80" w:hRule="exact"/>
          <w:jc w:val="center"/>
        </w:trPr>
        <w:tc>
          <w:tcPr>
            <w:tcW w:w="695"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课程</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类型</w:t>
            </w:r>
          </w:p>
        </w:tc>
        <w:tc>
          <w:tcPr>
            <w:tcW w:w="3045" w:type="dxa"/>
            <w:gridSpan w:val="4"/>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○通识课√公共基础课</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○学科基础课○专业课</w:t>
            </w:r>
          </w:p>
        </w:tc>
        <w:tc>
          <w:tcPr>
            <w:tcW w:w="1656" w:type="dxa"/>
            <w:gridSpan w:val="2"/>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课程</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属性</w:t>
            </w:r>
          </w:p>
        </w:tc>
        <w:tc>
          <w:tcPr>
            <w:tcW w:w="1285" w:type="dxa"/>
            <w:gridSpan w:val="2"/>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√必修课</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○选修课</w:t>
            </w:r>
          </w:p>
        </w:tc>
        <w:tc>
          <w:tcPr>
            <w:tcW w:w="745" w:type="dxa"/>
            <w:gridSpan w:val="2"/>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考核</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方式</w:t>
            </w:r>
          </w:p>
        </w:tc>
        <w:tc>
          <w:tcPr>
            <w:tcW w:w="1272"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√考试</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○考查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80" w:hRule="exact"/>
          <w:jc w:val="center"/>
        </w:trPr>
        <w:tc>
          <w:tcPr>
            <w:tcW w:w="695"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适用</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专业</w:t>
            </w:r>
          </w:p>
        </w:tc>
        <w:tc>
          <w:tcPr>
            <w:tcW w:w="8003" w:type="dxa"/>
            <w:gridSpan w:val="11"/>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会计、财管、CPA、法务会计、软件工程及财经类专业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80" w:hRule="exact"/>
          <w:jc w:val="center"/>
        </w:trPr>
        <w:tc>
          <w:tcPr>
            <w:tcW w:w="695"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先修</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课程</w:t>
            </w:r>
          </w:p>
        </w:tc>
        <w:tc>
          <w:tcPr>
            <w:tcW w:w="8003" w:type="dxa"/>
            <w:gridSpan w:val="11"/>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97" w:hRule="atLeast"/>
          <w:jc w:val="center"/>
        </w:trPr>
        <w:tc>
          <w:tcPr>
            <w:tcW w:w="8698" w:type="dxa"/>
            <w:gridSpan w:val="12"/>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成绩评定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76" w:hRule="atLeast"/>
          <w:jc w:val="center"/>
        </w:trPr>
        <w:tc>
          <w:tcPr>
            <w:tcW w:w="996" w:type="dxa"/>
            <w:gridSpan w:val="2"/>
            <w:vMerge w:val="restart"/>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√百分制</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○五级制</w:t>
            </w:r>
          </w:p>
          <w:p>
            <w:pPr>
              <w:spacing w:line="280" w:lineRule="exact"/>
              <w:jc w:val="center"/>
              <w:rPr>
                <w:rFonts w:ascii="仿宋_GB2312" w:eastAsia="仿宋_GB2312" w:cs="仿宋" w:hAnsiTheme="majorEastAsia"/>
                <w:kern w:val="0"/>
                <w:sz w:val="26"/>
                <w:szCs w:val="24"/>
              </w:rPr>
            </w:pPr>
            <w:r>
              <w:rPr>
                <w:rFonts w:hint="eastAsia" w:ascii="仿宋_GB2312" w:eastAsia="仿宋_GB2312" w:hAnsiTheme="majorEastAsia"/>
                <w:sz w:val="26"/>
                <w:szCs w:val="24"/>
              </w:rPr>
              <w:t>○两级制</w:t>
            </w:r>
          </w:p>
        </w:tc>
        <w:tc>
          <w:tcPr>
            <w:tcW w:w="5902" w:type="dxa"/>
            <w:gridSpan w:val="8"/>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平时考核成绩比例（</w:t>
            </w:r>
            <w:r>
              <w:rPr>
                <w:rFonts w:hint="eastAsia" w:ascii="仿宋_GB2312" w:eastAsia="仿宋_GB2312" w:hAnsiTheme="majorEastAsia"/>
                <w:sz w:val="26"/>
                <w:szCs w:val="24"/>
                <w:lang w:val="en-US" w:eastAsia="zh-CN"/>
              </w:rPr>
              <w:t>6</w:t>
            </w:r>
            <w:r>
              <w:rPr>
                <w:rFonts w:hint="eastAsia" w:ascii="仿宋_GB2312" w:eastAsia="仿宋_GB2312" w:hAnsiTheme="majorEastAsia"/>
                <w:sz w:val="26"/>
                <w:szCs w:val="24"/>
              </w:rPr>
              <w:t>0）%，其中：</w:t>
            </w:r>
          </w:p>
        </w:tc>
        <w:tc>
          <w:tcPr>
            <w:tcW w:w="1800" w:type="dxa"/>
            <w:gridSpan w:val="2"/>
            <w:vMerge w:val="restart"/>
            <w:tcMar>
              <w:left w:w="51" w:type="dxa"/>
              <w:right w:w="51" w:type="dxa"/>
            </w:tcMar>
            <w:vAlign w:val="center"/>
          </w:tcPr>
          <w:p>
            <w:pPr>
              <w:autoSpaceDE w:val="0"/>
              <w:autoSpaceDN w:val="0"/>
              <w:adjustRightInd w:val="0"/>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期末考核</w:t>
            </w:r>
          </w:p>
          <w:p>
            <w:pPr>
              <w:autoSpaceDE w:val="0"/>
              <w:autoSpaceDN w:val="0"/>
              <w:adjustRightInd w:val="0"/>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成绩比例</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w:t>
            </w:r>
            <w:r>
              <w:rPr>
                <w:rFonts w:hint="eastAsia" w:ascii="仿宋_GB2312" w:eastAsia="仿宋_GB2312" w:hAnsiTheme="majorEastAsia"/>
                <w:sz w:val="26"/>
                <w:szCs w:val="24"/>
                <w:lang w:val="en-US" w:eastAsia="zh-CN"/>
              </w:rPr>
              <w:t>4</w:t>
            </w:r>
            <w:r>
              <w:rPr>
                <w:rFonts w:hint="eastAsia" w:ascii="仿宋_GB2312" w:eastAsia="仿宋_GB2312" w:hAnsiTheme="majorEastAsia"/>
                <w:sz w:val="26"/>
                <w:szCs w:val="24"/>
              </w:rPr>
              <w:t>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04" w:hRule="atLeast"/>
          <w:jc w:val="center"/>
        </w:trPr>
        <w:tc>
          <w:tcPr>
            <w:tcW w:w="996" w:type="dxa"/>
            <w:gridSpan w:val="2"/>
            <w:vMerge w:val="continue"/>
            <w:tcMar>
              <w:left w:w="51" w:type="dxa"/>
              <w:right w:w="51" w:type="dxa"/>
            </w:tcMar>
            <w:vAlign w:val="center"/>
          </w:tcPr>
          <w:p>
            <w:pPr>
              <w:spacing w:line="280" w:lineRule="exact"/>
              <w:jc w:val="center"/>
              <w:rPr>
                <w:rFonts w:ascii="仿宋_GB2312" w:eastAsia="仿宋_GB2312" w:cs="仿宋" w:hAnsiTheme="majorEastAsia"/>
                <w:kern w:val="0"/>
                <w:sz w:val="26"/>
                <w:szCs w:val="24"/>
              </w:rPr>
            </w:pPr>
          </w:p>
        </w:tc>
        <w:tc>
          <w:tcPr>
            <w:tcW w:w="760"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项目</w:t>
            </w:r>
          </w:p>
        </w:tc>
        <w:tc>
          <w:tcPr>
            <w:tcW w:w="1134"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平时及作业</w:t>
            </w:r>
          </w:p>
        </w:tc>
        <w:tc>
          <w:tcPr>
            <w:tcW w:w="850"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考勤</w:t>
            </w:r>
          </w:p>
        </w:tc>
        <w:tc>
          <w:tcPr>
            <w:tcW w:w="851"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线上讨论</w:t>
            </w:r>
          </w:p>
        </w:tc>
        <w:tc>
          <w:tcPr>
            <w:tcW w:w="995" w:type="dxa"/>
            <w:gridSpan w:val="2"/>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线上测验</w:t>
            </w:r>
          </w:p>
        </w:tc>
        <w:tc>
          <w:tcPr>
            <w:tcW w:w="1312" w:type="dxa"/>
            <w:gridSpan w:val="2"/>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会计学原理实训</w:t>
            </w:r>
          </w:p>
        </w:tc>
        <w:tc>
          <w:tcPr>
            <w:tcW w:w="1800" w:type="dxa"/>
            <w:gridSpan w:val="2"/>
            <w:vMerge w:val="continue"/>
            <w:tcMar>
              <w:left w:w="51" w:type="dxa"/>
              <w:right w:w="51" w:type="dxa"/>
            </w:tcMar>
            <w:vAlign w:val="center"/>
          </w:tcPr>
          <w:p>
            <w:pPr>
              <w:spacing w:line="280" w:lineRule="exact"/>
              <w:jc w:val="center"/>
              <w:rPr>
                <w:rFonts w:ascii="仿宋_GB2312" w:eastAsia="仿宋_GB2312" w:hAnsiTheme="majorEastAsia"/>
                <w:sz w:val="26"/>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9" w:hRule="atLeast"/>
          <w:jc w:val="center"/>
        </w:trPr>
        <w:tc>
          <w:tcPr>
            <w:tcW w:w="996" w:type="dxa"/>
            <w:gridSpan w:val="2"/>
            <w:vMerge w:val="continue"/>
            <w:tcMar>
              <w:left w:w="51" w:type="dxa"/>
              <w:right w:w="51" w:type="dxa"/>
            </w:tcMar>
            <w:vAlign w:val="center"/>
          </w:tcPr>
          <w:p>
            <w:pPr>
              <w:spacing w:line="280" w:lineRule="exact"/>
              <w:jc w:val="center"/>
              <w:rPr>
                <w:rFonts w:ascii="仿宋_GB2312" w:eastAsia="仿宋_GB2312" w:cs="仿宋" w:hAnsiTheme="majorEastAsia"/>
                <w:kern w:val="0"/>
                <w:sz w:val="26"/>
                <w:szCs w:val="24"/>
              </w:rPr>
            </w:pPr>
          </w:p>
        </w:tc>
        <w:tc>
          <w:tcPr>
            <w:tcW w:w="760"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权重</w:t>
            </w:r>
          </w:p>
        </w:tc>
        <w:tc>
          <w:tcPr>
            <w:tcW w:w="1134"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lang w:val="en-US" w:eastAsia="zh-CN"/>
              </w:rPr>
              <w:t>1</w:t>
            </w:r>
            <w:r>
              <w:rPr>
                <w:rFonts w:hint="eastAsia" w:ascii="仿宋_GB2312" w:eastAsia="仿宋_GB2312" w:hAnsiTheme="majorEastAsia"/>
                <w:sz w:val="26"/>
                <w:szCs w:val="24"/>
              </w:rPr>
              <w:t>0%</w:t>
            </w:r>
          </w:p>
        </w:tc>
        <w:tc>
          <w:tcPr>
            <w:tcW w:w="850" w:type="dxa"/>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10%</w:t>
            </w:r>
          </w:p>
        </w:tc>
        <w:tc>
          <w:tcPr>
            <w:tcW w:w="851" w:type="dxa"/>
            <w:tcMar>
              <w:left w:w="51" w:type="dxa"/>
              <w:right w:w="51" w:type="dxa"/>
            </w:tcMar>
            <w:vAlign w:val="center"/>
          </w:tcPr>
          <w:p>
            <w:pPr>
              <w:spacing w:line="280" w:lineRule="exact"/>
              <w:jc w:val="center"/>
              <w:rPr>
                <w:rFonts w:hint="eastAsia" w:ascii="仿宋_GB2312" w:eastAsia="仿宋_GB2312" w:hAnsiTheme="majorEastAsia"/>
                <w:sz w:val="26"/>
                <w:szCs w:val="24"/>
                <w:lang w:val="en-US" w:eastAsia="zh-CN"/>
              </w:rPr>
            </w:pPr>
            <w:r>
              <w:rPr>
                <w:rFonts w:hint="eastAsia" w:ascii="仿宋_GB2312" w:eastAsia="仿宋_GB2312" w:hAnsiTheme="majorEastAsia"/>
                <w:sz w:val="26"/>
                <w:szCs w:val="24"/>
                <w:lang w:val="en-US" w:eastAsia="zh-CN"/>
              </w:rPr>
              <w:t>1</w:t>
            </w:r>
            <w:bookmarkStart w:id="0" w:name="_GoBack"/>
            <w:bookmarkEnd w:id="0"/>
            <w:r>
              <w:rPr>
                <w:rFonts w:hint="eastAsia" w:ascii="仿宋_GB2312" w:eastAsia="仿宋_GB2312" w:hAnsiTheme="majorEastAsia"/>
                <w:sz w:val="26"/>
                <w:szCs w:val="24"/>
                <w:lang w:val="en-US" w:eastAsia="zh-CN"/>
              </w:rPr>
              <w:t>0%</w:t>
            </w:r>
          </w:p>
        </w:tc>
        <w:tc>
          <w:tcPr>
            <w:tcW w:w="995" w:type="dxa"/>
            <w:gridSpan w:val="2"/>
            <w:tcMar>
              <w:left w:w="51" w:type="dxa"/>
              <w:right w:w="51" w:type="dxa"/>
            </w:tcMar>
            <w:vAlign w:val="center"/>
          </w:tcPr>
          <w:p>
            <w:pPr>
              <w:spacing w:line="280" w:lineRule="exact"/>
              <w:jc w:val="center"/>
              <w:rPr>
                <w:rFonts w:hint="eastAsia" w:ascii="仿宋_GB2312" w:eastAsia="仿宋_GB2312" w:hAnsiTheme="majorEastAsia"/>
                <w:sz w:val="26"/>
                <w:szCs w:val="24"/>
                <w:lang w:val="en-US" w:eastAsia="zh-CN"/>
              </w:rPr>
            </w:pPr>
            <w:r>
              <w:rPr>
                <w:rFonts w:hint="eastAsia" w:ascii="仿宋_GB2312" w:eastAsia="仿宋_GB2312" w:hAnsiTheme="majorEastAsia"/>
                <w:sz w:val="26"/>
                <w:szCs w:val="24"/>
                <w:lang w:val="en-US" w:eastAsia="zh-CN"/>
              </w:rPr>
              <w:t>20%</w:t>
            </w:r>
          </w:p>
        </w:tc>
        <w:tc>
          <w:tcPr>
            <w:tcW w:w="1312" w:type="dxa"/>
            <w:gridSpan w:val="2"/>
            <w:tcMar>
              <w:left w:w="51" w:type="dxa"/>
              <w:right w:w="51" w:type="dxa"/>
            </w:tcMar>
            <w:vAlign w:val="center"/>
          </w:tcPr>
          <w:p>
            <w:pPr>
              <w:spacing w:line="280" w:lineRule="exact"/>
              <w:jc w:val="center"/>
              <w:rPr>
                <w:rFonts w:hint="eastAsia" w:ascii="仿宋_GB2312" w:eastAsia="仿宋_GB2312" w:hAnsiTheme="majorEastAsia"/>
                <w:sz w:val="26"/>
                <w:szCs w:val="24"/>
                <w:lang w:val="en-US" w:eastAsia="zh-CN"/>
              </w:rPr>
            </w:pPr>
            <w:r>
              <w:rPr>
                <w:rFonts w:hint="eastAsia" w:ascii="仿宋_GB2312" w:eastAsia="仿宋_GB2312" w:hAnsiTheme="majorEastAsia"/>
                <w:sz w:val="26"/>
                <w:szCs w:val="24"/>
                <w:lang w:val="en-US" w:eastAsia="zh-CN"/>
              </w:rPr>
              <w:t>10%</w:t>
            </w:r>
          </w:p>
        </w:tc>
        <w:tc>
          <w:tcPr>
            <w:tcW w:w="1800" w:type="dxa"/>
            <w:gridSpan w:val="2"/>
            <w:vMerge w:val="continue"/>
            <w:tcMar>
              <w:left w:w="51" w:type="dxa"/>
              <w:right w:w="51" w:type="dxa"/>
            </w:tcMar>
            <w:vAlign w:val="center"/>
          </w:tcPr>
          <w:p>
            <w:pPr>
              <w:spacing w:line="280" w:lineRule="exact"/>
              <w:jc w:val="center"/>
              <w:rPr>
                <w:rFonts w:ascii="仿宋_GB2312" w:eastAsia="仿宋_GB2312" w:hAnsiTheme="majorEastAsia"/>
                <w:sz w:val="26"/>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369" w:hRule="atLeast"/>
          <w:jc w:val="center"/>
        </w:trPr>
        <w:tc>
          <w:tcPr>
            <w:tcW w:w="996" w:type="dxa"/>
            <w:gridSpan w:val="2"/>
            <w:tcMar>
              <w:left w:w="51" w:type="dxa"/>
              <w:right w:w="51" w:type="dxa"/>
            </w:tcMar>
            <w:vAlign w:val="center"/>
          </w:tcPr>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课</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程</w:t>
            </w:r>
          </w:p>
          <w:p>
            <w:pPr>
              <w:spacing w:line="280" w:lineRule="exact"/>
              <w:jc w:val="center"/>
              <w:rPr>
                <w:rFonts w:ascii="仿宋_GB2312" w:eastAsia="仿宋_GB2312" w:hAnsiTheme="majorEastAsia"/>
                <w:sz w:val="26"/>
                <w:szCs w:val="24"/>
              </w:rPr>
            </w:pPr>
            <w:r>
              <w:rPr>
                <w:rFonts w:hint="eastAsia" w:ascii="仿宋_GB2312" w:eastAsia="仿宋_GB2312" w:hAnsiTheme="majorEastAsia"/>
                <w:sz w:val="26"/>
                <w:szCs w:val="24"/>
              </w:rPr>
              <w:t>简</w:t>
            </w:r>
          </w:p>
          <w:p>
            <w:pPr>
              <w:spacing w:line="280" w:lineRule="exact"/>
              <w:jc w:val="center"/>
              <w:rPr>
                <w:rFonts w:ascii="仿宋_GB2312" w:eastAsia="仿宋_GB2312" w:cs="仿宋" w:hAnsiTheme="majorEastAsia"/>
                <w:kern w:val="0"/>
                <w:sz w:val="26"/>
                <w:szCs w:val="24"/>
              </w:rPr>
            </w:pPr>
            <w:r>
              <w:rPr>
                <w:rFonts w:hint="eastAsia" w:ascii="仿宋_GB2312" w:eastAsia="仿宋_GB2312" w:hAnsiTheme="majorEastAsia"/>
                <w:sz w:val="26"/>
                <w:szCs w:val="24"/>
              </w:rPr>
              <w:t>介</w:t>
            </w:r>
          </w:p>
        </w:tc>
        <w:tc>
          <w:tcPr>
            <w:tcW w:w="7702" w:type="dxa"/>
            <w:gridSpan w:val="10"/>
            <w:tcMar>
              <w:left w:w="51" w:type="dxa"/>
              <w:right w:w="51" w:type="dxa"/>
            </w:tcMar>
            <w:vAlign w:val="center"/>
          </w:tcPr>
          <w:p>
            <w:pPr>
              <w:widowControl/>
              <w:spacing w:line="320" w:lineRule="exact"/>
              <w:ind w:firstLine="480" w:firstLineChars="200"/>
              <w:jc w:val="left"/>
              <w:rPr>
                <w:rFonts w:hint="eastAsia" w:ascii="仿宋_GB2312" w:eastAsia="仿宋_GB2312" w:hAnsiTheme="majorEastAsia"/>
                <w:sz w:val="24"/>
                <w:szCs w:val="24"/>
              </w:rPr>
            </w:pPr>
            <w:r>
              <w:rPr>
                <w:rFonts w:hint="eastAsia" w:ascii="仿宋_GB2312" w:eastAsia="仿宋_GB2312" w:hAnsiTheme="majorEastAsia"/>
                <w:sz w:val="24"/>
                <w:szCs w:val="24"/>
              </w:rPr>
              <w:t>江西财经大学程淑珍教授领衔的《会计学原理》课程拥有一流的教学团队，本课程为2006年江西省精品课程，2015年江西省精品资源共享课程，江西财经大学精品在线课程及“3+7+X”课程，中国大学MOOC课程，同时拥有专门的课程教学网：中国大学MOOC《会计学原理》课程网（2017）、江西省精品资源共享课程《会计学原理》课程网（2015）、会计学原理课程教学网（2013）。</w:t>
            </w:r>
          </w:p>
          <w:p>
            <w:pPr>
              <w:widowControl/>
              <w:spacing w:line="320" w:lineRule="exact"/>
              <w:ind w:firstLine="480" w:firstLineChars="200"/>
              <w:jc w:val="left"/>
              <w:rPr>
                <w:rFonts w:hint="eastAsia" w:ascii="仿宋_GB2312" w:eastAsia="仿宋_GB2312" w:hAnsiTheme="majorEastAsia"/>
                <w:sz w:val="24"/>
                <w:szCs w:val="24"/>
              </w:rPr>
            </w:pPr>
            <w:r>
              <w:rPr>
                <w:rFonts w:hint="eastAsia" w:ascii="仿宋_GB2312" w:eastAsia="仿宋_GB2312" w:hAnsiTheme="majorEastAsia"/>
                <w:sz w:val="24"/>
                <w:szCs w:val="24"/>
              </w:rPr>
              <w:t>《会计学原理》课程是我校会计（含会计、CPA、ACCA方向）及财管专业人才培养方案中的必修课及学科基础课（或专业课），也是我校法务会计、软件工程及其他财经类专业的必修课。该课程是以会计的确认、计量、记录和报告为主线，阐述会计的基本概念、基本理论，着重阐述会计核算的基本程序和方法；共包括四个模块：一是会计基本概念及基本理论，包括会计概念、特点、职能、对象、会计假设、会计原则，二是会计核算方法及其应用，包括账户与复式记账、主要经济业务核算、账户分类、会计凭证、会计账簿、财产清查、会计报表；三是会计循环与组织，包括会计循环、会计核算组织程序、会计工作组织；四是信息化会计简介；属于先修课程。</w:t>
            </w:r>
          </w:p>
          <w:p>
            <w:pPr>
              <w:widowControl/>
              <w:spacing w:line="320" w:lineRule="exact"/>
              <w:ind w:firstLine="480" w:firstLineChars="200"/>
              <w:jc w:val="left"/>
              <w:rPr>
                <w:rFonts w:ascii="仿宋_GB2312" w:eastAsia="仿宋_GB2312" w:hAnsiTheme="majorEastAsia"/>
                <w:sz w:val="26"/>
                <w:szCs w:val="24"/>
              </w:rPr>
            </w:pPr>
            <w:r>
              <w:rPr>
                <w:rFonts w:hint="eastAsia" w:ascii="仿宋_GB2312" w:eastAsia="仿宋_GB2312" w:hAnsiTheme="majorEastAsia"/>
                <w:sz w:val="24"/>
                <w:szCs w:val="24"/>
              </w:rPr>
              <w:t>其目的是：第一，将学生引领入会计之门，掌握会计的基本概念和理论；第二，学生能运用会计核算的基本方法，熟练进行基本业务操作；第三，为学生以后学习、掌握中级财务会计、高级财务会计、成本会计、管理会计、财务管理和审计学专业知识以及这些知识的融会贯通作辅垫的。</w:t>
            </w:r>
          </w:p>
        </w:tc>
      </w:tr>
    </w:tbl>
    <w:p>
      <w:pPr>
        <w:rPr>
          <w:rFonts w:ascii="黑体" w:eastAsia="黑体" w:cs="黑体"/>
          <w:kern w:val="0"/>
          <w:sz w:val="28"/>
          <w:szCs w:val="28"/>
        </w:rPr>
      </w:pPr>
      <w:r>
        <w:rPr>
          <w:rFonts w:hint="eastAsia" w:ascii="黑体" w:eastAsia="黑体" w:cs="黑体"/>
          <w:kern w:val="0"/>
          <w:sz w:val="28"/>
          <w:szCs w:val="28"/>
        </w:rPr>
        <w:t>二、课程教学内容、教学要求及学时安排</w:t>
      </w:r>
    </w:p>
    <w:tbl>
      <w:tblPr>
        <w:tblStyle w:val="7"/>
        <w:tblW w:w="889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99"/>
        <w:gridCol w:w="1243"/>
        <w:gridCol w:w="860"/>
        <w:gridCol w:w="2551"/>
        <w:gridCol w:w="567"/>
        <w:gridCol w:w="567"/>
        <w:gridCol w:w="567"/>
        <w:gridCol w:w="567"/>
        <w:gridCol w:w="567"/>
        <w:gridCol w:w="70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rPr>
                <w:rFonts w:ascii="黑体" w:hAnsi="黑体" w:eastAsia="黑体" w:cs="黑体"/>
                <w:kern w:val="0"/>
                <w:sz w:val="24"/>
                <w:szCs w:val="26"/>
              </w:rPr>
            </w:pPr>
            <w:r>
              <w:rPr>
                <w:rFonts w:hint="eastAsia" w:ascii="黑体" w:hAnsi="黑体" w:eastAsia="黑体" w:cs="黑体"/>
                <w:kern w:val="0"/>
                <w:sz w:val="24"/>
                <w:szCs w:val="26"/>
              </w:rPr>
              <w:t>序号</w:t>
            </w:r>
          </w:p>
        </w:tc>
        <w:tc>
          <w:tcPr>
            <w:tcW w:w="1243" w:type="dxa"/>
            <w:vMerge w:val="restart"/>
            <w:vAlign w:val="center"/>
          </w:tcPr>
          <w:p>
            <w:pPr>
              <w:rPr>
                <w:rFonts w:ascii="黑体" w:hAnsi="黑体" w:eastAsia="黑体" w:cs="黑体"/>
                <w:kern w:val="0"/>
                <w:sz w:val="24"/>
                <w:szCs w:val="26"/>
              </w:rPr>
            </w:pPr>
            <w:r>
              <w:rPr>
                <w:rFonts w:hint="eastAsia" w:ascii="黑体" w:hAnsi="黑体" w:eastAsia="黑体" w:cs="黑体"/>
                <w:kern w:val="0"/>
                <w:sz w:val="24"/>
                <w:szCs w:val="26"/>
              </w:rPr>
              <w:t>内容名称</w:t>
            </w:r>
          </w:p>
        </w:tc>
        <w:tc>
          <w:tcPr>
            <w:tcW w:w="3411" w:type="dxa"/>
            <w:gridSpan w:val="2"/>
            <w:vMerge w:val="restart"/>
            <w:vAlign w:val="center"/>
          </w:tcPr>
          <w:p>
            <w:pPr>
              <w:rPr>
                <w:rFonts w:ascii="黑体" w:hAnsi="黑体" w:eastAsia="黑体" w:cs="黑体"/>
                <w:kern w:val="0"/>
                <w:sz w:val="24"/>
                <w:szCs w:val="26"/>
              </w:rPr>
            </w:pPr>
            <w:r>
              <w:rPr>
                <w:rFonts w:hint="eastAsia" w:ascii="黑体" w:hAnsi="黑体" w:eastAsia="黑体" w:cs="黑体"/>
                <w:kern w:val="0"/>
                <w:sz w:val="24"/>
                <w:szCs w:val="26"/>
              </w:rPr>
              <w:t>教学内容与教学要求</w:t>
            </w:r>
          </w:p>
        </w:tc>
        <w:tc>
          <w:tcPr>
            <w:tcW w:w="2835" w:type="dxa"/>
            <w:gridSpan w:val="5"/>
            <w:vAlign w:val="center"/>
          </w:tcPr>
          <w:p>
            <w:pPr>
              <w:jc w:val="center"/>
              <w:rPr>
                <w:rFonts w:ascii="黑体" w:hAnsi="黑体" w:eastAsia="黑体" w:cs="黑体"/>
                <w:kern w:val="0"/>
                <w:sz w:val="24"/>
                <w:szCs w:val="26"/>
              </w:rPr>
            </w:pPr>
            <w:r>
              <w:rPr>
                <w:rFonts w:hint="eastAsia" w:ascii="黑体" w:hAnsi="黑体" w:eastAsia="黑体" w:cs="黑体"/>
                <w:kern w:val="0"/>
                <w:sz w:val="24"/>
                <w:szCs w:val="26"/>
              </w:rPr>
              <w:t>学时安排</w:t>
            </w:r>
          </w:p>
        </w:tc>
        <w:tc>
          <w:tcPr>
            <w:tcW w:w="709" w:type="dxa"/>
            <w:vMerge w:val="restart"/>
            <w:vAlign w:val="center"/>
          </w:tcPr>
          <w:p>
            <w:pPr>
              <w:autoSpaceDE w:val="0"/>
              <w:autoSpaceDN w:val="0"/>
              <w:adjustRightInd w:val="0"/>
              <w:jc w:val="left"/>
              <w:rPr>
                <w:rFonts w:ascii="黑体" w:hAnsi="黑体" w:eastAsia="黑体" w:cs="黑体"/>
                <w:kern w:val="0"/>
                <w:sz w:val="24"/>
                <w:szCs w:val="26"/>
              </w:rPr>
            </w:pPr>
            <w:r>
              <w:rPr>
                <w:rFonts w:hint="eastAsia" w:ascii="黑体" w:hAnsi="黑体" w:eastAsia="黑体" w:cs="黑体"/>
                <w:kern w:val="0"/>
                <w:sz w:val="24"/>
                <w:szCs w:val="26"/>
              </w:rPr>
              <w:t>备</w:t>
            </w:r>
          </w:p>
          <w:p>
            <w:pPr>
              <w:rPr>
                <w:rFonts w:ascii="黑体" w:hAnsi="黑体" w:eastAsia="黑体" w:cs="黑体"/>
                <w:kern w:val="0"/>
                <w:sz w:val="24"/>
                <w:szCs w:val="26"/>
              </w:rPr>
            </w:pPr>
            <w:r>
              <w:rPr>
                <w:rFonts w:hint="eastAsia" w:ascii="黑体" w:hAnsi="黑体" w:eastAsia="黑体" w:cs="黑体"/>
                <w:kern w:val="0"/>
                <w:sz w:val="24"/>
                <w:szCs w:val="26"/>
              </w:rPr>
              <w:t>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rPr>
                <w:rFonts w:ascii="黑体" w:hAnsi="黑体" w:eastAsia="黑体" w:cs="黑体"/>
                <w:b/>
                <w:kern w:val="0"/>
                <w:sz w:val="26"/>
                <w:szCs w:val="26"/>
              </w:rPr>
            </w:pPr>
          </w:p>
        </w:tc>
        <w:tc>
          <w:tcPr>
            <w:tcW w:w="1243" w:type="dxa"/>
            <w:vMerge w:val="continue"/>
            <w:vAlign w:val="center"/>
          </w:tcPr>
          <w:p>
            <w:pPr>
              <w:rPr>
                <w:rFonts w:ascii="黑体" w:hAnsi="黑体" w:eastAsia="黑体" w:cs="黑体"/>
                <w:b/>
                <w:kern w:val="0"/>
                <w:sz w:val="26"/>
                <w:szCs w:val="26"/>
              </w:rPr>
            </w:pPr>
          </w:p>
        </w:tc>
        <w:tc>
          <w:tcPr>
            <w:tcW w:w="3411" w:type="dxa"/>
            <w:gridSpan w:val="2"/>
            <w:vMerge w:val="continue"/>
            <w:vAlign w:val="center"/>
          </w:tcPr>
          <w:p>
            <w:pPr>
              <w:rPr>
                <w:rFonts w:ascii="黑体" w:hAnsi="黑体" w:eastAsia="黑体" w:cs="黑体"/>
                <w:kern w:val="0"/>
                <w:sz w:val="26"/>
                <w:szCs w:val="26"/>
              </w:rPr>
            </w:pPr>
          </w:p>
        </w:tc>
        <w:tc>
          <w:tcPr>
            <w:tcW w:w="567" w:type="dxa"/>
            <w:vMerge w:val="restart"/>
            <w:vAlign w:val="center"/>
          </w:tcPr>
          <w:p>
            <w:pPr>
              <w:rPr>
                <w:rFonts w:ascii="黑体" w:hAnsi="黑体" w:eastAsia="黑体" w:cs="黑体"/>
                <w:kern w:val="0"/>
                <w:sz w:val="24"/>
                <w:szCs w:val="26"/>
              </w:rPr>
            </w:pPr>
            <w:r>
              <w:rPr>
                <w:rFonts w:hint="eastAsia" w:ascii="黑体" w:hAnsi="黑体" w:eastAsia="黑体" w:cs="黑体"/>
                <w:kern w:val="0"/>
                <w:sz w:val="24"/>
                <w:szCs w:val="26"/>
              </w:rPr>
              <w:t>总</w:t>
            </w:r>
          </w:p>
          <w:p>
            <w:pPr>
              <w:rPr>
                <w:rFonts w:ascii="黑体" w:hAnsi="黑体" w:eastAsia="黑体" w:cs="黑体"/>
                <w:kern w:val="0"/>
                <w:sz w:val="24"/>
                <w:szCs w:val="26"/>
              </w:rPr>
            </w:pPr>
            <w:r>
              <w:rPr>
                <w:rFonts w:hint="eastAsia" w:ascii="黑体" w:hAnsi="黑体" w:eastAsia="黑体" w:cs="黑体"/>
                <w:kern w:val="0"/>
                <w:sz w:val="24"/>
                <w:szCs w:val="26"/>
              </w:rPr>
              <w:t>学</w:t>
            </w:r>
          </w:p>
          <w:p>
            <w:pPr>
              <w:rPr>
                <w:rFonts w:ascii="黑体" w:hAnsi="黑体" w:eastAsia="黑体" w:cs="黑体"/>
                <w:kern w:val="0"/>
                <w:sz w:val="24"/>
                <w:szCs w:val="26"/>
              </w:rPr>
            </w:pPr>
            <w:r>
              <w:rPr>
                <w:rFonts w:hint="eastAsia" w:ascii="黑体" w:hAnsi="黑体" w:eastAsia="黑体" w:cs="黑体"/>
                <w:kern w:val="0"/>
                <w:sz w:val="24"/>
                <w:szCs w:val="26"/>
              </w:rPr>
              <w:t>时</w:t>
            </w:r>
          </w:p>
        </w:tc>
        <w:tc>
          <w:tcPr>
            <w:tcW w:w="2268" w:type="dxa"/>
            <w:gridSpan w:val="4"/>
            <w:vAlign w:val="center"/>
          </w:tcPr>
          <w:p>
            <w:pPr>
              <w:jc w:val="center"/>
              <w:rPr>
                <w:rFonts w:ascii="黑体" w:hAnsi="黑体" w:eastAsia="黑体" w:cs="黑体"/>
                <w:kern w:val="0"/>
                <w:sz w:val="24"/>
                <w:szCs w:val="26"/>
              </w:rPr>
            </w:pPr>
            <w:r>
              <w:rPr>
                <w:rFonts w:hint="eastAsia" w:ascii="黑体" w:hAnsi="黑体" w:eastAsia="黑体" w:cs="黑体"/>
                <w:kern w:val="0"/>
                <w:sz w:val="24"/>
                <w:szCs w:val="26"/>
              </w:rPr>
              <w:t>其中</w:t>
            </w:r>
          </w:p>
        </w:tc>
        <w:tc>
          <w:tcPr>
            <w:tcW w:w="709" w:type="dxa"/>
            <w:vMerge w:val="continue"/>
            <w:vAlign w:val="center"/>
          </w:tcPr>
          <w:p>
            <w:pPr>
              <w:rPr>
                <w:rFonts w:ascii="黑体" w:hAnsi="黑体" w:eastAsia="黑体" w:cs="黑体"/>
                <w:b/>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rPr>
                <w:rFonts w:ascii="黑体" w:hAnsi="黑体" w:eastAsia="黑体" w:cs="黑体"/>
                <w:b/>
                <w:kern w:val="0"/>
                <w:sz w:val="26"/>
                <w:szCs w:val="26"/>
              </w:rPr>
            </w:pPr>
          </w:p>
        </w:tc>
        <w:tc>
          <w:tcPr>
            <w:tcW w:w="1243" w:type="dxa"/>
            <w:vMerge w:val="continue"/>
            <w:vAlign w:val="center"/>
          </w:tcPr>
          <w:p>
            <w:pPr>
              <w:rPr>
                <w:rFonts w:ascii="黑体" w:hAnsi="黑体" w:eastAsia="黑体" w:cs="黑体"/>
                <w:b/>
                <w:kern w:val="0"/>
                <w:sz w:val="26"/>
                <w:szCs w:val="26"/>
              </w:rPr>
            </w:pPr>
          </w:p>
        </w:tc>
        <w:tc>
          <w:tcPr>
            <w:tcW w:w="3411" w:type="dxa"/>
            <w:gridSpan w:val="2"/>
            <w:vMerge w:val="continue"/>
            <w:vAlign w:val="center"/>
          </w:tcPr>
          <w:p>
            <w:pPr>
              <w:rPr>
                <w:rFonts w:ascii="黑体" w:hAnsi="黑体" w:eastAsia="黑体" w:cs="黑体"/>
                <w:kern w:val="0"/>
                <w:sz w:val="26"/>
                <w:szCs w:val="26"/>
              </w:rPr>
            </w:pPr>
          </w:p>
        </w:tc>
        <w:tc>
          <w:tcPr>
            <w:tcW w:w="567" w:type="dxa"/>
            <w:vMerge w:val="continue"/>
            <w:vAlign w:val="center"/>
          </w:tcPr>
          <w:p>
            <w:pPr>
              <w:rPr>
                <w:rFonts w:ascii="黑体" w:hAnsi="黑体" w:eastAsia="黑体" w:cs="黑体"/>
                <w:kern w:val="0"/>
                <w:sz w:val="24"/>
                <w:szCs w:val="26"/>
              </w:rPr>
            </w:pPr>
          </w:p>
        </w:tc>
        <w:tc>
          <w:tcPr>
            <w:tcW w:w="567" w:type="dxa"/>
            <w:vAlign w:val="center"/>
          </w:tcPr>
          <w:p>
            <w:pPr>
              <w:autoSpaceDE w:val="0"/>
              <w:autoSpaceDN w:val="0"/>
              <w:adjustRightInd w:val="0"/>
              <w:jc w:val="center"/>
              <w:rPr>
                <w:rFonts w:ascii="黑体" w:hAnsi="黑体" w:eastAsia="黑体" w:cs="黑体"/>
                <w:kern w:val="0"/>
                <w:sz w:val="24"/>
                <w:szCs w:val="26"/>
              </w:rPr>
            </w:pPr>
            <w:r>
              <w:rPr>
                <w:rFonts w:hint="eastAsia" w:ascii="黑体" w:hAnsi="黑体" w:eastAsia="黑体" w:cs="黑体"/>
                <w:kern w:val="0"/>
                <w:sz w:val="24"/>
                <w:szCs w:val="26"/>
              </w:rPr>
              <w:t>讲</w:t>
            </w:r>
          </w:p>
          <w:p>
            <w:pPr>
              <w:jc w:val="center"/>
              <w:rPr>
                <w:rFonts w:ascii="黑体" w:hAnsi="黑体" w:eastAsia="黑体" w:cs="黑体"/>
                <w:kern w:val="0"/>
                <w:sz w:val="24"/>
                <w:szCs w:val="26"/>
              </w:rPr>
            </w:pPr>
            <w:r>
              <w:rPr>
                <w:rFonts w:hint="eastAsia" w:ascii="黑体" w:hAnsi="黑体" w:eastAsia="黑体" w:cs="黑体"/>
                <w:kern w:val="0"/>
                <w:sz w:val="24"/>
                <w:szCs w:val="26"/>
              </w:rPr>
              <w:t>授</w:t>
            </w:r>
          </w:p>
        </w:tc>
        <w:tc>
          <w:tcPr>
            <w:tcW w:w="567" w:type="dxa"/>
            <w:vAlign w:val="center"/>
          </w:tcPr>
          <w:p>
            <w:pPr>
              <w:autoSpaceDE w:val="0"/>
              <w:autoSpaceDN w:val="0"/>
              <w:adjustRightInd w:val="0"/>
              <w:jc w:val="center"/>
              <w:rPr>
                <w:rFonts w:ascii="黑体" w:hAnsi="黑体" w:eastAsia="黑体" w:cs="黑体"/>
                <w:kern w:val="0"/>
                <w:sz w:val="24"/>
                <w:szCs w:val="26"/>
              </w:rPr>
            </w:pPr>
            <w:r>
              <w:rPr>
                <w:rFonts w:hint="eastAsia" w:ascii="黑体" w:hAnsi="黑体" w:eastAsia="黑体" w:cs="黑体"/>
                <w:kern w:val="0"/>
                <w:sz w:val="24"/>
                <w:szCs w:val="26"/>
              </w:rPr>
              <w:t>实</w:t>
            </w:r>
          </w:p>
          <w:p>
            <w:pPr>
              <w:jc w:val="center"/>
              <w:rPr>
                <w:rFonts w:ascii="黑体" w:hAnsi="黑体" w:eastAsia="黑体" w:cs="黑体"/>
                <w:kern w:val="0"/>
                <w:sz w:val="24"/>
                <w:szCs w:val="26"/>
              </w:rPr>
            </w:pPr>
            <w:r>
              <w:rPr>
                <w:rFonts w:hint="eastAsia" w:ascii="黑体" w:hAnsi="黑体" w:eastAsia="黑体" w:cs="黑体"/>
                <w:kern w:val="0"/>
                <w:sz w:val="24"/>
                <w:szCs w:val="26"/>
              </w:rPr>
              <w:t>验</w:t>
            </w:r>
          </w:p>
        </w:tc>
        <w:tc>
          <w:tcPr>
            <w:tcW w:w="567" w:type="dxa"/>
            <w:vAlign w:val="center"/>
          </w:tcPr>
          <w:p>
            <w:pPr>
              <w:jc w:val="center"/>
              <w:rPr>
                <w:rFonts w:ascii="黑体" w:hAnsi="黑体" w:eastAsia="黑体" w:cs="黑体"/>
                <w:kern w:val="0"/>
                <w:sz w:val="24"/>
                <w:szCs w:val="26"/>
              </w:rPr>
            </w:pPr>
            <w:r>
              <w:rPr>
                <w:rFonts w:hint="eastAsia" w:ascii="黑体" w:hAnsi="黑体" w:eastAsia="黑体" w:cs="黑体"/>
                <w:kern w:val="0"/>
                <w:sz w:val="24"/>
                <w:szCs w:val="26"/>
              </w:rPr>
              <w:t>上</w:t>
            </w:r>
          </w:p>
          <w:p>
            <w:pPr>
              <w:jc w:val="center"/>
              <w:rPr>
                <w:rFonts w:ascii="黑体" w:hAnsi="黑体" w:eastAsia="黑体" w:cs="黑体"/>
                <w:kern w:val="0"/>
                <w:sz w:val="24"/>
                <w:szCs w:val="26"/>
              </w:rPr>
            </w:pPr>
            <w:r>
              <w:rPr>
                <w:rFonts w:hint="eastAsia" w:ascii="黑体" w:hAnsi="黑体" w:eastAsia="黑体" w:cs="黑体"/>
                <w:kern w:val="0"/>
                <w:sz w:val="24"/>
                <w:szCs w:val="26"/>
              </w:rPr>
              <w:t>机</w:t>
            </w:r>
          </w:p>
        </w:tc>
        <w:tc>
          <w:tcPr>
            <w:tcW w:w="567" w:type="dxa"/>
            <w:vAlign w:val="center"/>
          </w:tcPr>
          <w:p>
            <w:pPr>
              <w:jc w:val="center"/>
              <w:rPr>
                <w:rFonts w:ascii="黑体" w:hAnsi="黑体" w:eastAsia="黑体" w:cs="黑体"/>
                <w:kern w:val="0"/>
                <w:sz w:val="24"/>
                <w:szCs w:val="26"/>
              </w:rPr>
            </w:pPr>
            <w:r>
              <w:rPr>
                <w:rFonts w:hint="eastAsia" w:ascii="黑体" w:hAnsi="黑体" w:eastAsia="黑体" w:cs="黑体"/>
                <w:kern w:val="0"/>
                <w:sz w:val="24"/>
                <w:szCs w:val="26"/>
              </w:rPr>
              <w:t>其</w:t>
            </w:r>
          </w:p>
          <w:p>
            <w:pPr>
              <w:jc w:val="center"/>
              <w:rPr>
                <w:rFonts w:ascii="黑体" w:hAnsi="黑体" w:eastAsia="黑体" w:cs="黑体"/>
                <w:kern w:val="0"/>
                <w:sz w:val="24"/>
                <w:szCs w:val="26"/>
              </w:rPr>
            </w:pPr>
            <w:r>
              <w:rPr>
                <w:rFonts w:hint="eastAsia" w:ascii="黑体" w:hAnsi="黑体" w:eastAsia="黑体" w:cs="黑体"/>
                <w:kern w:val="0"/>
                <w:sz w:val="24"/>
                <w:szCs w:val="26"/>
              </w:rPr>
              <w:t>他</w:t>
            </w:r>
          </w:p>
        </w:tc>
        <w:tc>
          <w:tcPr>
            <w:tcW w:w="709" w:type="dxa"/>
            <w:vMerge w:val="continue"/>
            <w:vAlign w:val="center"/>
          </w:tcPr>
          <w:p>
            <w:pPr>
              <w:rPr>
                <w:rFonts w:ascii="黑体" w:hAnsi="黑体" w:eastAsia="黑体" w:cs="黑体"/>
                <w:b/>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1</w:t>
            </w:r>
          </w:p>
        </w:tc>
        <w:tc>
          <w:tcPr>
            <w:tcW w:w="1243" w:type="dxa"/>
            <w:vMerge w:val="restart"/>
            <w:shd w:val="clear" w:color="auto" w:fill="auto"/>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总论</w:t>
            </w: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内容</w:t>
            </w:r>
          </w:p>
        </w:tc>
        <w:tc>
          <w:tcPr>
            <w:tcW w:w="2551" w:type="dxa"/>
            <w:vAlign w:val="center"/>
          </w:tcPr>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1.1 会计环境与会计发展</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1.2 会计含义与特点</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1.3 会计对象</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1.4 会计职能</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1.5 会计目标</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1.6 会计基本假定</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1.7 会计基础</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1.8 会计核算的基本程序</w:t>
            </w:r>
          </w:p>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1.9 会计核算的方法</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9</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9</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要求</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通过本章的学习，要求了解会计的产生与发展史，理解会计环境对会计的影响；掌握会计的基本概念，包括会计的含义、内容、对象、职能和目标；深刻理解并掌握会计核算的基本前提与原则，了解会计核算的程序与方法，会计学及其分支的有关内容。</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重点</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难点</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本章教学的重点是会计的基本概念、会计核算的基本程序和方法。难点是对会计对象的理解，包括资金运动的两个侧面和会计六要素；会计的基本假设、会计基础等。</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2</w:t>
            </w:r>
          </w:p>
        </w:tc>
        <w:tc>
          <w:tcPr>
            <w:tcW w:w="1243" w:type="dxa"/>
            <w:vMerge w:val="restart"/>
            <w:shd w:val="clear" w:color="auto" w:fill="auto"/>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账户与借贷记账法</w:t>
            </w: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内容</w:t>
            </w:r>
          </w:p>
        </w:tc>
        <w:tc>
          <w:tcPr>
            <w:tcW w:w="2551" w:type="dxa"/>
            <w:vAlign w:val="center"/>
          </w:tcPr>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2.1 资产负债表要素</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2.2 利润表要素</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2.3 会计恒等式2.4 会计科目与账户设置</w:t>
            </w:r>
          </w:p>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2.5 借贷记账法</w:t>
            </w:r>
          </w:p>
        </w:tc>
        <w:tc>
          <w:tcPr>
            <w:tcW w:w="567" w:type="dxa"/>
            <w:vAlign w:val="center"/>
          </w:tcPr>
          <w:p>
            <w:pPr>
              <w:jc w:val="center"/>
              <w:rPr>
                <w:rFonts w:ascii="仿宋_GB2312" w:eastAsia="仿宋_GB2312" w:cs="黑体" w:hAnsiTheme="majorEastAsia"/>
                <w:kern w:val="0"/>
                <w:sz w:val="26"/>
                <w:szCs w:val="26"/>
              </w:rPr>
            </w:pPr>
            <w:r>
              <w:rPr>
                <w:rFonts w:ascii="仿宋_GB2312" w:eastAsia="仿宋_GB2312" w:cs="黑体" w:hAnsiTheme="majorEastAsia"/>
                <w:kern w:val="0"/>
                <w:sz w:val="26"/>
                <w:szCs w:val="26"/>
              </w:rPr>
              <w:t>12</w:t>
            </w:r>
          </w:p>
        </w:tc>
        <w:tc>
          <w:tcPr>
            <w:tcW w:w="567" w:type="dxa"/>
            <w:vAlign w:val="center"/>
          </w:tcPr>
          <w:p>
            <w:pPr>
              <w:jc w:val="center"/>
              <w:rPr>
                <w:rFonts w:ascii="仿宋_GB2312" w:eastAsia="仿宋_GB2312" w:cs="黑体" w:hAnsiTheme="majorEastAsia"/>
                <w:kern w:val="0"/>
                <w:sz w:val="26"/>
                <w:szCs w:val="26"/>
              </w:rPr>
            </w:pPr>
            <w:r>
              <w:rPr>
                <w:rFonts w:ascii="仿宋_GB2312" w:eastAsia="仿宋_GB2312" w:cs="黑体" w:hAnsiTheme="majorEastAsia"/>
                <w:kern w:val="0"/>
                <w:sz w:val="26"/>
                <w:szCs w:val="26"/>
              </w:rPr>
              <w:t>9</w:t>
            </w:r>
          </w:p>
        </w:tc>
        <w:tc>
          <w:tcPr>
            <w:tcW w:w="567" w:type="dxa"/>
            <w:vAlign w:val="center"/>
          </w:tcPr>
          <w:p>
            <w:pPr>
              <w:jc w:val="center"/>
              <w:rPr>
                <w:rFonts w:ascii="仿宋_GB2312" w:eastAsia="仿宋_GB2312" w:cs="黑体" w:hAnsiTheme="majorEastAsia"/>
                <w:kern w:val="0"/>
                <w:sz w:val="26"/>
                <w:szCs w:val="26"/>
              </w:rPr>
            </w:pPr>
            <w:r>
              <w:rPr>
                <w:rFonts w:ascii="仿宋_GB2312" w:eastAsia="仿宋_GB2312" w:cs="黑体" w:hAnsiTheme="majorEastAsia"/>
                <w:kern w:val="0"/>
                <w:sz w:val="26"/>
                <w:szCs w:val="26"/>
              </w:rPr>
              <w:t>3</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要求</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学习本章要求理解会计要素的划分原则和划分方法；明确会计科目的作用及科目内容，掌握设置账户的必要性和基本结构；重点掌握会计恒等式中各个会计要素之间的关系及经济业务发生后对会计等式中各会计要素的影响；掌握复式记账的记账符号、账户结构、记账规则、试算平衡。本章是本门课程的核心内容，它为以后各章的学习打下坚实的基础。</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重点</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难点</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的重点是对会计要素的深刻理解，对会计恒等式及账户的掌握与运用，对复式记账法的原理的理解和记账规则及借贷记账法、试算平衡的掌握与运用；难点是各种类型的经济业务发生对会计恒等式的影响，复式记账原理及复式记账法的运用。</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3</w:t>
            </w:r>
          </w:p>
        </w:tc>
        <w:tc>
          <w:tcPr>
            <w:tcW w:w="1243" w:type="dxa"/>
            <w:vMerge w:val="restart"/>
            <w:shd w:val="clear" w:color="auto" w:fill="auto"/>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复式记账法应用</w:t>
            </w: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内容</w:t>
            </w:r>
          </w:p>
        </w:tc>
        <w:tc>
          <w:tcPr>
            <w:tcW w:w="2551" w:type="dxa"/>
            <w:vAlign w:val="center"/>
          </w:tcPr>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3.1 投入资本核算</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3.2 借入资本核算</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3.3 固定资产购建业务核算</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3.4 材料采购业务核算</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3.5 费用的发生</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3.6 费用归集与分配</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3.7 完工产品计算与核算</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3.8 营业收入核算</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3.9 营业成本、费用及税费核算</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3.10 营业利润的计算</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3.11 利润形成的核算</w:t>
            </w:r>
          </w:p>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3.12 利润分配的核算</w:t>
            </w:r>
          </w:p>
        </w:tc>
        <w:tc>
          <w:tcPr>
            <w:tcW w:w="567" w:type="dxa"/>
            <w:vAlign w:val="center"/>
          </w:tcPr>
          <w:p>
            <w:pPr>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18</w:t>
            </w:r>
          </w:p>
        </w:tc>
        <w:tc>
          <w:tcPr>
            <w:tcW w:w="567" w:type="dxa"/>
            <w:vAlign w:val="center"/>
          </w:tcPr>
          <w:p>
            <w:pPr>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16</w:t>
            </w:r>
          </w:p>
        </w:tc>
        <w:tc>
          <w:tcPr>
            <w:tcW w:w="567" w:type="dxa"/>
            <w:vAlign w:val="center"/>
          </w:tcPr>
          <w:p>
            <w:pPr>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2</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要求</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通过本章的学习，进一步理解、巩固账户和复式记账的基本原则，系统地掌握工业企业主要经济业务的核算。要求明确工业企业资金循环过程及主要经济业务内容；理解并掌握工业企业资金循环过程中主要账户的设置、性质、用途、结构及相互间的对应关系；掌握工业企业主要经济业务核算的基本原理和基本过程。</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重点</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难点</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的重点是各环节的主要核算内容的核算与记录，紧紧抓住资金循环各环节之间的逻辑联系，把握好账户设置的系统性；有关分配率的计算与选择及各环节之间的联系账户的核算内容；难点为过程的费用分配与成本计算。</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4</w:t>
            </w:r>
          </w:p>
        </w:tc>
        <w:tc>
          <w:tcPr>
            <w:tcW w:w="1243" w:type="dxa"/>
            <w:vMerge w:val="restart"/>
            <w:shd w:val="clear" w:color="auto" w:fill="auto"/>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账户分类</w:t>
            </w: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内容</w:t>
            </w:r>
          </w:p>
        </w:tc>
        <w:tc>
          <w:tcPr>
            <w:tcW w:w="2551" w:type="dxa"/>
            <w:vAlign w:val="center"/>
          </w:tcPr>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4.1 账户分类概述</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4.2 账户按经济内容分类</w:t>
            </w:r>
          </w:p>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4.3 账户按用途和结构分类</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3</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3</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要求</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通过本章学习，进一步掌握各账户的性质、用途和结构，理解各类账户之间的区别和联系，掌握各类账户在提供核算指标方面的规律性，为正确运用账户奠定理论基础；明确账户按经济内容分为哪些类别，以正确判断账户的性质；掌握账户的调整。</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重点</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难点</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本章的重点是掌握账户按用途和结构的分类，深刻理解各类账户在用途和结构上的区别与联系，把握账户运用的规律，熟悉账户的调整。</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5</w:t>
            </w:r>
          </w:p>
        </w:tc>
        <w:tc>
          <w:tcPr>
            <w:tcW w:w="1243" w:type="dxa"/>
            <w:vMerge w:val="restart"/>
            <w:shd w:val="clear" w:color="auto" w:fill="auto"/>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会计凭证</w:t>
            </w: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内容</w:t>
            </w:r>
          </w:p>
        </w:tc>
        <w:tc>
          <w:tcPr>
            <w:tcW w:w="2551" w:type="dxa"/>
            <w:vAlign w:val="center"/>
          </w:tcPr>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5.1 会计凭证含义及分类</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5.2 原始凭证</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5.3 记账凭证</w:t>
            </w:r>
          </w:p>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5.4 会计凭证的传递和保管</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6</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3</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3</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要求</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阐述会计凭证的填制和审核问题。学习本章，要求掌握会计凭证概念，理解会计凭证的意义和种类；熟练地掌握原始凭证的填制和审核；记账凭证的填制和审核；会计凭证的传递和保管。通过本章的学习，要能正确使用会计凭证。</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重点</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难点</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本章的重点是原始凭证与记账凭证的填制与审核。</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6</w:t>
            </w:r>
          </w:p>
        </w:tc>
        <w:tc>
          <w:tcPr>
            <w:tcW w:w="1243" w:type="dxa"/>
            <w:vMerge w:val="restart"/>
            <w:shd w:val="clear" w:color="auto" w:fill="auto"/>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会计账簿</w:t>
            </w: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内容</w:t>
            </w:r>
          </w:p>
        </w:tc>
        <w:tc>
          <w:tcPr>
            <w:tcW w:w="2551" w:type="dxa"/>
            <w:vAlign w:val="center"/>
          </w:tcPr>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6.1 会计账簿含义与分类</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6.2 日记账分类账的设置与登记</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6.3 会计账簿的启用与登记规则</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6.4 错账查找与更正</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6.5 对账与结账</w:t>
            </w:r>
          </w:p>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6.6 账簿的保管</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7</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3</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4</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要求</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阐述各种账簿的设置和登记。学习本章，要求理解设置和登记账簿对于系统地提供经济信息、加强经济管理的作用；熟悉日记账、总分类账、明细分类账的内容、格式、登记依据和登记方法；掌握登记账簿的各种规则，包括错帐更正的规则；了解对账的内容，掌握结账的方法。通过本章的学习，要能较熟练地登记和利用账簿。</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重点</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难点</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本章重点：掌握各种账簿的使用、总账与明细账的平行登记、错帐更正方法。本章难点：总账与明细账的平行登记、错帐更正方法、结账。</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7</w:t>
            </w:r>
          </w:p>
        </w:tc>
        <w:tc>
          <w:tcPr>
            <w:tcW w:w="1243" w:type="dxa"/>
            <w:vMerge w:val="restart"/>
            <w:shd w:val="clear" w:color="auto" w:fill="auto"/>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财产清查</w:t>
            </w: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内容</w:t>
            </w:r>
          </w:p>
        </w:tc>
        <w:tc>
          <w:tcPr>
            <w:tcW w:w="2551" w:type="dxa"/>
            <w:vAlign w:val="center"/>
          </w:tcPr>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7.1 清查的含义与分类</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7.2 财产物资的盘存制度</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7.3 财产清查的程序与方法</w:t>
            </w:r>
          </w:p>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7.4 财产清查结果的核算</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4</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4</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要求</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主要讲述财产清查的方法及其结果的处理。通过本章的学习，要求理解财产清查的意义；掌握各种财产物资、货币资金和往来款项的清查方法；银行存款余额调节表的编制方法；理解并掌握财产清查结果的业务处理和账务处理。</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重点</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难点</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本章教学的重点是财产清查方法，永续盘存制与实地盘存制、银行存款余额调节表的编制方法，财产清查结果的账务处理；难点是永续盘存制与实地盘存制的理解、未达账项的识别及银行存款余额调节表的编制。</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8</w:t>
            </w:r>
          </w:p>
        </w:tc>
        <w:tc>
          <w:tcPr>
            <w:tcW w:w="1243" w:type="dxa"/>
            <w:vMerge w:val="restart"/>
            <w:shd w:val="clear" w:color="auto" w:fill="auto"/>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会计报表</w:t>
            </w: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内容</w:t>
            </w:r>
          </w:p>
        </w:tc>
        <w:tc>
          <w:tcPr>
            <w:tcW w:w="2551" w:type="dxa"/>
            <w:vAlign w:val="center"/>
          </w:tcPr>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8.1 财务报表的含义、种类及列报要素</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8.2 资产负债表</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8.3 利润表</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8.4 现金流量表</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8.5 所有者权益变动表</w:t>
            </w:r>
          </w:p>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8.6 报表附注</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6</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4</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2</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要求</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主要讲述会计报表及种类、资产负债表、利润表以及现金流量表。通过本章的学习，要求理解会计报表的作用、种类和编制的要求；着重掌握资产负债表、利润表的基本结构和基本的编制方法；现金流量表的编制基础和基本结构。通过本章学习，能初步掌握编制主要会计报表所必备的基础知识。</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重点</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难点</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本章的重点是会计报表的种类及编制要求，资产负债表、利润表的结构及编制方法；难点是资产负债表、利润表的编制及现金流量表中现金的理解基本结构。</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9</w:t>
            </w:r>
          </w:p>
        </w:tc>
        <w:tc>
          <w:tcPr>
            <w:tcW w:w="1243" w:type="dxa"/>
            <w:vMerge w:val="restart"/>
            <w:shd w:val="clear" w:color="auto" w:fill="auto"/>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会计核算组织程序</w:t>
            </w: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内容</w:t>
            </w:r>
          </w:p>
        </w:tc>
        <w:tc>
          <w:tcPr>
            <w:tcW w:w="2551" w:type="dxa"/>
            <w:vAlign w:val="center"/>
          </w:tcPr>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9.1 会计核算组织程序的概述</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9.2 记账凭证核算组织程序</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9.3 科目汇总表核算组织程序</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9.4 汇总记账凭证核算组织程序</w:t>
            </w:r>
          </w:p>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9.5 日记账核算组织程序</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4</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2</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2</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要求</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学习本章，要求理解建立会计核算组织程序的意义和要求；明确各种会计核算组织程序的会计凭证和账簿的设置；掌握不同会计核算组织程序的账务处理程序。</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重点</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难点</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本章教学的重点是科目汇总表核算组织程序、记账凭证、汇总记账凭证核算组织程序下的会计凭证和账簿的设置以及账务处理；难点是各种会计核算组织程序的运用。</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10</w:t>
            </w:r>
          </w:p>
        </w:tc>
        <w:tc>
          <w:tcPr>
            <w:tcW w:w="1243" w:type="dxa"/>
            <w:vMerge w:val="restart"/>
            <w:shd w:val="clear" w:color="auto" w:fill="auto"/>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会计工作组织与管理</w:t>
            </w: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内容</w:t>
            </w:r>
          </w:p>
        </w:tc>
        <w:tc>
          <w:tcPr>
            <w:tcW w:w="2551" w:type="dxa"/>
            <w:vAlign w:val="center"/>
          </w:tcPr>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10.1会计管理体制</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10.2会计规范体系</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10.3会计机构与会计人员</w:t>
            </w:r>
          </w:p>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10.4会计档案管理</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0</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0</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要求</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主要介绍会计的组织与管理、会计管理体制、会计规范体系、会计机构与会计人员、会计档案管理。通过本章的学习，要求了解我国现行会计管理体制的特点与主要内容；深刻理解会计组织与管理的含义、意义及应遵循的原则；理解会计机构及岗位设置的重要意义与原则，熟悉企业会计机构的职责、组织形式，会计机构的一般岗位设置与不同岗位的工作内容；掌握会计人员的职责范围、主要权限规定、违法事项与法律责任；掌握会计法律法规、会计职业道德要求的主要内容；掌握企业会计档案保存时间及借阅、移交、到期销毁的有关规定。</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重点</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难点</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本章教学的重点是会计管理体制、会计规范体系、会计机构与会计人员、会计档案管理。难点是如何理解会计的组织与管理、会计机构及岗位设置等。</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restart"/>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11</w:t>
            </w:r>
          </w:p>
        </w:tc>
        <w:tc>
          <w:tcPr>
            <w:tcW w:w="1243" w:type="dxa"/>
            <w:vMerge w:val="restart"/>
            <w:shd w:val="clear" w:color="auto" w:fill="auto"/>
            <w:vAlign w:val="center"/>
          </w:tcPr>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信息技术与会计信息化</w:t>
            </w: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内容</w:t>
            </w:r>
          </w:p>
        </w:tc>
        <w:tc>
          <w:tcPr>
            <w:tcW w:w="2551" w:type="dxa"/>
            <w:vAlign w:val="center"/>
          </w:tcPr>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11.1AIS的组成与应用</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11.2 ERP下的账务处理基本流程</w:t>
            </w:r>
          </w:p>
          <w:p>
            <w:pPr>
              <w:spacing w:line="400" w:lineRule="exact"/>
              <w:rPr>
                <w:rFonts w:hint="eastAsia" w:ascii="仿宋_GB2312" w:eastAsia="仿宋_GB2312" w:cs="黑体" w:hAnsiTheme="majorEastAsia"/>
                <w:kern w:val="0"/>
                <w:sz w:val="26"/>
                <w:szCs w:val="26"/>
              </w:rPr>
            </w:pPr>
            <w:r>
              <w:rPr>
                <w:rFonts w:hint="eastAsia" w:ascii="仿宋_GB2312" w:eastAsia="仿宋_GB2312" w:cs="黑体" w:hAnsiTheme="majorEastAsia"/>
                <w:kern w:val="0"/>
                <w:sz w:val="26"/>
                <w:szCs w:val="26"/>
              </w:rPr>
              <w:t>11.3财务处理主要操作</w:t>
            </w:r>
          </w:p>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11.4 XBRL财务报告技术</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0</w:t>
            </w:r>
          </w:p>
        </w:tc>
        <w:tc>
          <w:tcPr>
            <w:tcW w:w="567" w:type="dxa"/>
            <w:vAlign w:val="center"/>
          </w:tcPr>
          <w:p>
            <w:pPr>
              <w:rPr>
                <w:rFonts w:cs="黑体" w:asciiTheme="majorEastAsia" w:hAnsiTheme="majorEastAsia" w:eastAsiaTheme="majorEastAsia"/>
                <w:kern w:val="0"/>
                <w:sz w:val="26"/>
                <w:szCs w:val="26"/>
              </w:rPr>
            </w:pPr>
            <w:r>
              <w:rPr>
                <w:rFonts w:hint="eastAsia" w:cs="黑体" w:asciiTheme="majorEastAsia" w:hAnsiTheme="majorEastAsia" w:eastAsiaTheme="majorEastAsia"/>
                <w:kern w:val="0"/>
                <w:sz w:val="26"/>
                <w:szCs w:val="26"/>
              </w:rPr>
              <w:t>0</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教学</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要求</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主要介绍信息技术及其对会计的影响、会计信息化的发展、会计信息系统的构成与应用、XBRL扩展商业报告语言简介、总账与报表模块操作流程。通过本章的学习，深刻理解信息技术在会计业务处理中引入计算机技术之后对会计的影响；理解并掌握数据与信息的关联、财务软件的基本操作流程；了解会计信息系统及其层次关系、会计信息系统的实施、XBRL财务报告技术等基本知识。</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99" w:type="dxa"/>
            <w:vMerge w:val="continue"/>
            <w:vAlign w:val="center"/>
          </w:tcPr>
          <w:p>
            <w:pPr>
              <w:spacing w:line="400" w:lineRule="exact"/>
              <w:jc w:val="center"/>
              <w:rPr>
                <w:rFonts w:ascii="仿宋_GB2312" w:eastAsia="仿宋_GB2312" w:hAnsiTheme="majorEastAsia"/>
                <w:sz w:val="26"/>
                <w:szCs w:val="26"/>
              </w:rPr>
            </w:pPr>
          </w:p>
        </w:tc>
        <w:tc>
          <w:tcPr>
            <w:tcW w:w="1243" w:type="dxa"/>
            <w:vMerge w:val="continue"/>
            <w:shd w:val="clear" w:color="auto" w:fill="auto"/>
            <w:vAlign w:val="center"/>
          </w:tcPr>
          <w:p>
            <w:pPr>
              <w:spacing w:line="400" w:lineRule="exact"/>
              <w:jc w:val="center"/>
              <w:rPr>
                <w:rFonts w:ascii="仿宋_GB2312" w:eastAsia="仿宋_GB2312" w:hAnsiTheme="majorEastAsia"/>
                <w:sz w:val="26"/>
                <w:szCs w:val="26"/>
              </w:rPr>
            </w:pPr>
          </w:p>
        </w:tc>
        <w:tc>
          <w:tcPr>
            <w:tcW w:w="860" w:type="dxa"/>
            <w:vAlign w:val="center"/>
          </w:tcPr>
          <w:p>
            <w:pPr>
              <w:autoSpaceDE w:val="0"/>
              <w:autoSpaceDN w:val="0"/>
              <w:adjustRightInd w:val="0"/>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重点</w:t>
            </w:r>
          </w:p>
          <w:p>
            <w:pPr>
              <w:spacing w:line="400" w:lineRule="exact"/>
              <w:jc w:val="center"/>
              <w:rPr>
                <w:rFonts w:ascii="仿宋_GB2312" w:eastAsia="仿宋_GB2312" w:hAnsiTheme="majorEastAsia"/>
                <w:sz w:val="26"/>
                <w:szCs w:val="26"/>
              </w:rPr>
            </w:pPr>
            <w:r>
              <w:rPr>
                <w:rFonts w:hint="eastAsia" w:ascii="仿宋_GB2312" w:eastAsia="仿宋_GB2312" w:hAnsiTheme="majorEastAsia"/>
                <w:sz w:val="26"/>
                <w:szCs w:val="26"/>
              </w:rPr>
              <w:t>难点</w:t>
            </w:r>
          </w:p>
        </w:tc>
        <w:tc>
          <w:tcPr>
            <w:tcW w:w="2551" w:type="dxa"/>
            <w:vAlign w:val="center"/>
          </w:tcPr>
          <w:p>
            <w:pPr>
              <w:spacing w:line="400" w:lineRule="exact"/>
              <w:rPr>
                <w:rFonts w:ascii="仿宋_GB2312" w:eastAsia="仿宋_GB2312" w:cs="黑体" w:hAnsiTheme="majorEastAsia"/>
                <w:kern w:val="0"/>
                <w:sz w:val="26"/>
                <w:szCs w:val="26"/>
              </w:rPr>
            </w:pPr>
            <w:r>
              <w:rPr>
                <w:rFonts w:hint="eastAsia" w:ascii="仿宋_GB2312" w:eastAsia="仿宋_GB2312" w:cs="黑体" w:hAnsiTheme="majorEastAsia"/>
                <w:kern w:val="0"/>
                <w:sz w:val="26"/>
                <w:szCs w:val="26"/>
              </w:rPr>
              <w:t>本章教学的重点是会计信息系统的构成与应用、XBRL扩展商业报告语言简介、总账与报表模块操作流程。难点是如何理解XBRL扩展商业报告语言、总账与报表模块操作流程等。</w:t>
            </w: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567" w:type="dxa"/>
            <w:vAlign w:val="center"/>
          </w:tcPr>
          <w:p>
            <w:pPr>
              <w:rPr>
                <w:rFonts w:cs="黑体" w:asciiTheme="majorEastAsia" w:hAnsiTheme="majorEastAsia" w:eastAsiaTheme="majorEastAsia"/>
                <w:kern w:val="0"/>
                <w:sz w:val="26"/>
                <w:szCs w:val="26"/>
              </w:rPr>
            </w:pPr>
          </w:p>
        </w:tc>
        <w:tc>
          <w:tcPr>
            <w:tcW w:w="709" w:type="dxa"/>
            <w:vAlign w:val="center"/>
          </w:tcPr>
          <w:p>
            <w:pPr>
              <w:rPr>
                <w:rFonts w:cs="黑体" w:asciiTheme="majorEastAsia" w:hAnsiTheme="majorEastAsia" w:eastAsiaTheme="majorEastAsia"/>
                <w:kern w:val="0"/>
                <w:sz w:val="26"/>
                <w:szCs w:val="26"/>
              </w:rPr>
            </w:pPr>
          </w:p>
        </w:tc>
      </w:tr>
    </w:tbl>
    <w:p>
      <w:pPr>
        <w:rPr>
          <w:rFonts w:ascii="黑体" w:eastAsia="黑体" w:cs="黑体"/>
          <w:kern w:val="0"/>
          <w:sz w:val="28"/>
          <w:szCs w:val="28"/>
        </w:rPr>
      </w:pPr>
      <w:r>
        <w:rPr>
          <w:rFonts w:hint="eastAsia" w:ascii="黑体" w:eastAsia="黑体" w:cs="黑体"/>
          <w:kern w:val="0"/>
          <w:sz w:val="28"/>
          <w:szCs w:val="28"/>
        </w:rPr>
        <w:t>三、教材、参考书与其它学习资源</w:t>
      </w:r>
    </w:p>
    <w:p>
      <w:pPr>
        <w:autoSpaceDE w:val="0"/>
        <w:autoSpaceDN w:val="0"/>
        <w:adjustRightInd w:val="0"/>
        <w:spacing w:line="360" w:lineRule="exact"/>
        <w:jc w:val="left"/>
        <w:rPr>
          <w:rFonts w:hint="eastAsia" w:ascii="黑体" w:eastAsia="黑体" w:cs="黑体"/>
          <w:kern w:val="0"/>
          <w:sz w:val="24"/>
          <w:szCs w:val="24"/>
        </w:rPr>
      </w:pPr>
      <w:r>
        <w:rPr>
          <w:rFonts w:hint="eastAsia" w:ascii="黑体" w:eastAsia="黑体" w:cs="黑体"/>
          <w:kern w:val="0"/>
          <w:sz w:val="24"/>
          <w:szCs w:val="24"/>
        </w:rPr>
        <w:t>（一）教材</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会计学原理（第五版/国家十二五规划教材），张蕊主编，中国财政经济出版社，2016.8</w:t>
      </w:r>
    </w:p>
    <w:p>
      <w:pPr>
        <w:autoSpaceDE w:val="0"/>
        <w:autoSpaceDN w:val="0"/>
        <w:adjustRightInd w:val="0"/>
        <w:spacing w:line="360" w:lineRule="exact"/>
        <w:jc w:val="left"/>
        <w:rPr>
          <w:rFonts w:hint="eastAsia" w:ascii="黑体" w:eastAsia="黑体" w:cs="黑体"/>
          <w:kern w:val="0"/>
          <w:sz w:val="24"/>
          <w:szCs w:val="24"/>
        </w:rPr>
      </w:pPr>
      <w:r>
        <w:rPr>
          <w:rFonts w:hint="eastAsia" w:ascii="黑体" w:eastAsia="黑体" w:cs="黑体"/>
          <w:kern w:val="0"/>
          <w:sz w:val="24"/>
          <w:szCs w:val="24"/>
        </w:rPr>
        <w:t>（二）参考书</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1.唐国平，《会计学原理》（第三版），中国财政经济出版社，2016年1月；</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2.夏冬林，《会计学》（第四版），清华大学出版社，2014年12月；</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3.陈少华，会计学原理（第五版/21世纪会计学系列教材），厦门大学出版社，2017年6月</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4.陈少华，《会计学原理》学习指导与练习，厦门大学出版社，2017年6月第5版；</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5.李瑞芬主编，《会计学原理》，东北财经大学出版社 2016年版；</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6.裘宗舜编著，《会计理论》，中国财政经济出版社1998年版；</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7. (美)小威廉</w:t>
      </w:r>
      <w:r>
        <w:rPr>
          <w:rFonts w:hint="eastAsia" w:ascii="宋体" w:hAnsi="宋体" w:eastAsia="宋体" w:cs="宋体"/>
          <w:kern w:val="0"/>
          <w:sz w:val="24"/>
          <w:szCs w:val="24"/>
        </w:rPr>
        <w:t>•</w:t>
      </w:r>
      <w:r>
        <w:rPr>
          <w:rFonts w:hint="eastAsia" w:ascii="仿宋_GB2312" w:eastAsia="仿宋_GB2312" w:cs="黑体"/>
          <w:kern w:val="0"/>
          <w:sz w:val="24"/>
          <w:szCs w:val="24"/>
        </w:rPr>
        <w:t>J.布鲁斯，陆正飞译，《会计学精要(教程与案例)/三友会计名著译丛，东北财经大学出版社，2006年版</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8.《会计法》（2017），财政部网站</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9.《会计档案管理办法》（2015），财政部网站</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10.《企业会计信息化工作规范》（2013），财政部网站</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11.《企业会计准则第30号一一财务报表列报》及其应用指南（2014），财政部网站</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12.《公允价值准则》（2014），财政部网站</w:t>
      </w:r>
    </w:p>
    <w:p>
      <w:pPr>
        <w:autoSpaceDE w:val="0"/>
        <w:autoSpaceDN w:val="0"/>
        <w:adjustRightInd w:val="0"/>
        <w:spacing w:line="360" w:lineRule="exact"/>
        <w:jc w:val="left"/>
        <w:rPr>
          <w:rFonts w:hint="eastAsia" w:ascii="黑体" w:eastAsia="黑体" w:cs="黑体"/>
          <w:kern w:val="0"/>
          <w:sz w:val="24"/>
          <w:szCs w:val="24"/>
        </w:rPr>
      </w:pPr>
      <w:r>
        <w:rPr>
          <w:rFonts w:hint="eastAsia" w:ascii="黑体" w:eastAsia="黑体" w:cs="黑体"/>
          <w:kern w:val="0"/>
          <w:sz w:val="24"/>
          <w:szCs w:val="24"/>
        </w:rPr>
        <w:t>（三）其它学习资源</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1.中国大学MOOC_江西财经大学_会计学原理</w:t>
      </w:r>
    </w:p>
    <w:p>
      <w:pPr>
        <w:autoSpaceDE w:val="0"/>
        <w:autoSpaceDN w:val="0"/>
        <w:adjustRightInd w:val="0"/>
        <w:spacing w:line="360" w:lineRule="exact"/>
        <w:jc w:val="left"/>
        <w:rPr>
          <w:rFonts w:hint="eastAsia" w:ascii="仿宋_GB2312" w:eastAsia="仿宋_GB2312" w:cs="黑体"/>
          <w:kern w:val="0"/>
          <w:sz w:val="24"/>
          <w:szCs w:val="24"/>
        </w:rPr>
      </w:pPr>
      <w:r>
        <w:rPr>
          <w:rFonts w:hint="eastAsia" w:ascii="仿宋_GB2312" w:eastAsia="仿宋_GB2312" w:cs="黑体"/>
          <w:kern w:val="0"/>
          <w:sz w:val="24"/>
          <w:szCs w:val="24"/>
        </w:rPr>
        <w:t>2.江西省精品资源共享课_江西财经大学_会计学原理</w:t>
      </w:r>
    </w:p>
    <w:tbl>
      <w:tblPr>
        <w:tblStyle w:val="7"/>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840"/>
        <w:gridCol w:w="2841"/>
        <w:gridCol w:w="284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40" w:type="dxa"/>
          </w:tcPr>
          <w:p>
            <w:pPr>
              <w:autoSpaceDE w:val="0"/>
              <w:autoSpaceDN w:val="0"/>
              <w:adjustRightInd w:val="0"/>
              <w:jc w:val="center"/>
              <w:rPr>
                <w:rFonts w:ascii="仿宋_GB2312" w:eastAsia="仿宋_GB2312" w:hAnsiTheme="majorEastAsia"/>
                <w:sz w:val="26"/>
                <w:szCs w:val="26"/>
              </w:rPr>
            </w:pPr>
            <w:r>
              <w:rPr>
                <w:rFonts w:hint="eastAsia" w:ascii="仿宋_GB2312" w:eastAsia="仿宋_GB2312" w:hAnsiTheme="majorEastAsia"/>
                <w:sz w:val="26"/>
                <w:szCs w:val="26"/>
              </w:rPr>
              <w:t>大纲执笔</w:t>
            </w:r>
          </w:p>
        </w:tc>
        <w:tc>
          <w:tcPr>
            <w:tcW w:w="2841" w:type="dxa"/>
          </w:tcPr>
          <w:p>
            <w:pPr>
              <w:autoSpaceDE w:val="0"/>
              <w:autoSpaceDN w:val="0"/>
              <w:adjustRightInd w:val="0"/>
              <w:jc w:val="center"/>
              <w:rPr>
                <w:rFonts w:ascii="仿宋_GB2312" w:eastAsia="仿宋_GB2312" w:hAnsiTheme="majorEastAsia"/>
                <w:sz w:val="26"/>
                <w:szCs w:val="26"/>
              </w:rPr>
            </w:pPr>
            <w:r>
              <w:rPr>
                <w:rFonts w:hint="eastAsia" w:ascii="仿宋_GB2312" w:eastAsia="仿宋_GB2312" w:hAnsiTheme="majorEastAsia"/>
                <w:sz w:val="26"/>
                <w:szCs w:val="26"/>
              </w:rPr>
              <w:t>大纲审核</w:t>
            </w:r>
          </w:p>
        </w:tc>
        <w:tc>
          <w:tcPr>
            <w:tcW w:w="2841" w:type="dxa"/>
          </w:tcPr>
          <w:p>
            <w:pPr>
              <w:rPr>
                <w:rFonts w:ascii="仿宋_GB2312" w:eastAsia="仿宋_GB2312"/>
                <w:color w:val="FF0000"/>
                <w:sz w:val="26"/>
                <w:szCs w:val="26"/>
              </w:rPr>
            </w:pPr>
            <w:r>
              <w:rPr>
                <w:rFonts w:hint="eastAsia" w:ascii="仿宋_GB2312" w:eastAsia="仿宋_GB2312" w:cs="仿宋"/>
                <w:kern w:val="0"/>
                <w:sz w:val="26"/>
                <w:szCs w:val="26"/>
              </w:rPr>
              <w:t>大纲审定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43" w:hRule="atLeast"/>
        </w:trPr>
        <w:tc>
          <w:tcPr>
            <w:tcW w:w="2840" w:type="dxa"/>
          </w:tcPr>
          <w:p>
            <w:pPr>
              <w:autoSpaceDE w:val="0"/>
              <w:autoSpaceDN w:val="0"/>
              <w:adjustRightInd w:val="0"/>
              <w:jc w:val="center"/>
              <w:rPr>
                <w:rFonts w:ascii="仿宋_GB2312" w:eastAsia="仿宋_GB2312" w:hAnsiTheme="majorEastAsia"/>
                <w:sz w:val="26"/>
                <w:szCs w:val="26"/>
              </w:rPr>
            </w:pPr>
            <w:r>
              <w:rPr>
                <w:rFonts w:hint="eastAsia" w:ascii="仿宋_GB2312" w:eastAsia="仿宋_GB2312" w:hAnsiTheme="majorEastAsia"/>
                <w:sz w:val="26"/>
                <w:szCs w:val="26"/>
              </w:rPr>
              <w:t>程淑珍</w:t>
            </w:r>
          </w:p>
        </w:tc>
        <w:tc>
          <w:tcPr>
            <w:tcW w:w="2841" w:type="dxa"/>
          </w:tcPr>
          <w:p>
            <w:pPr>
              <w:autoSpaceDE w:val="0"/>
              <w:autoSpaceDN w:val="0"/>
              <w:adjustRightInd w:val="0"/>
              <w:jc w:val="center"/>
              <w:rPr>
                <w:rFonts w:ascii="仿宋_GB2312" w:eastAsia="仿宋_GB2312" w:hAnsiTheme="majorEastAsia"/>
                <w:sz w:val="26"/>
                <w:szCs w:val="26"/>
              </w:rPr>
            </w:pPr>
          </w:p>
        </w:tc>
        <w:tc>
          <w:tcPr>
            <w:tcW w:w="2841" w:type="dxa"/>
          </w:tcPr>
          <w:p>
            <w:pPr>
              <w:rPr>
                <w:rFonts w:ascii="仿宋_GB2312" w:eastAsia="仿宋_GB2312"/>
                <w:color w:val="FF0000"/>
                <w:sz w:val="26"/>
                <w:szCs w:val="26"/>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840" w:type="dxa"/>
          </w:tcPr>
          <w:p>
            <w:pPr>
              <w:autoSpaceDE w:val="0"/>
              <w:autoSpaceDN w:val="0"/>
              <w:adjustRightInd w:val="0"/>
              <w:jc w:val="center"/>
              <w:rPr>
                <w:rFonts w:ascii="仿宋_GB2312" w:eastAsia="仿宋_GB2312" w:hAnsiTheme="majorEastAsia"/>
                <w:sz w:val="26"/>
                <w:szCs w:val="26"/>
              </w:rPr>
            </w:pPr>
            <w:r>
              <w:rPr>
                <w:rFonts w:hint="eastAsia" w:ascii="仿宋_GB2312" w:eastAsia="仿宋_GB2312" w:hAnsiTheme="majorEastAsia"/>
                <w:sz w:val="26"/>
                <w:szCs w:val="26"/>
              </w:rPr>
              <w:t>制定时间</w:t>
            </w:r>
          </w:p>
        </w:tc>
        <w:tc>
          <w:tcPr>
            <w:tcW w:w="5682" w:type="dxa"/>
            <w:gridSpan w:val="2"/>
          </w:tcPr>
          <w:p>
            <w:pPr>
              <w:autoSpaceDE w:val="0"/>
              <w:autoSpaceDN w:val="0"/>
              <w:adjustRightInd w:val="0"/>
              <w:jc w:val="center"/>
              <w:rPr>
                <w:rFonts w:ascii="仿宋_GB2312" w:eastAsia="仿宋_GB2312" w:hAnsiTheme="majorEastAsia"/>
                <w:sz w:val="26"/>
                <w:szCs w:val="26"/>
              </w:rPr>
            </w:pPr>
            <w:r>
              <w:rPr>
                <w:rFonts w:hint="eastAsia" w:ascii="仿宋_GB2312" w:eastAsia="仿宋_GB2312" w:hAnsiTheme="majorEastAsia"/>
                <w:sz w:val="26"/>
                <w:szCs w:val="26"/>
              </w:rPr>
              <w:t>2018年1月2日</w:t>
            </w:r>
          </w:p>
        </w:tc>
      </w:tr>
    </w:tbl>
    <w:p>
      <w:pPr>
        <w:spacing w:before="156" w:beforeLines="50"/>
        <w:rPr>
          <w:rFonts w:ascii="仿宋_GB2312" w:eastAsia="仿宋_GB2312"/>
          <w:sz w:val="23"/>
        </w:rPr>
      </w:pPr>
      <w:r>
        <w:rPr>
          <w:rFonts w:hint="eastAsia" w:ascii="仿宋_GB2312" w:eastAsia="仿宋_GB2312"/>
          <w:sz w:val="23"/>
        </w:rPr>
        <w:t>注意：填写完成后将文档名称修改为“学校名称_课程名称”，例如“华东交通大学_编程方法与实现”。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F5D51"/>
    <w:rsid w:val="000259E8"/>
    <w:rsid w:val="00041BE2"/>
    <w:rsid w:val="000435F8"/>
    <w:rsid w:val="0005544D"/>
    <w:rsid w:val="0008029D"/>
    <w:rsid w:val="00090A6A"/>
    <w:rsid w:val="000F3200"/>
    <w:rsid w:val="00112CFA"/>
    <w:rsid w:val="0019187C"/>
    <w:rsid w:val="00265544"/>
    <w:rsid w:val="00266C14"/>
    <w:rsid w:val="00304FC7"/>
    <w:rsid w:val="00356D66"/>
    <w:rsid w:val="00407A4F"/>
    <w:rsid w:val="00467779"/>
    <w:rsid w:val="00551395"/>
    <w:rsid w:val="0059238A"/>
    <w:rsid w:val="00597628"/>
    <w:rsid w:val="005A2351"/>
    <w:rsid w:val="00662D33"/>
    <w:rsid w:val="006A1CA0"/>
    <w:rsid w:val="006B3ED0"/>
    <w:rsid w:val="00710E5B"/>
    <w:rsid w:val="00713B79"/>
    <w:rsid w:val="00741B14"/>
    <w:rsid w:val="007D08B0"/>
    <w:rsid w:val="008804D2"/>
    <w:rsid w:val="008A739D"/>
    <w:rsid w:val="008B1225"/>
    <w:rsid w:val="008B705B"/>
    <w:rsid w:val="008C5ED9"/>
    <w:rsid w:val="008F5D51"/>
    <w:rsid w:val="00915FA7"/>
    <w:rsid w:val="00996F74"/>
    <w:rsid w:val="009D22A7"/>
    <w:rsid w:val="009F7438"/>
    <w:rsid w:val="00A00127"/>
    <w:rsid w:val="00A2409D"/>
    <w:rsid w:val="00A362EC"/>
    <w:rsid w:val="00A6323C"/>
    <w:rsid w:val="00A7452F"/>
    <w:rsid w:val="00A83ED0"/>
    <w:rsid w:val="00AB783A"/>
    <w:rsid w:val="00AC794E"/>
    <w:rsid w:val="00B17B05"/>
    <w:rsid w:val="00B30F39"/>
    <w:rsid w:val="00B73281"/>
    <w:rsid w:val="00BA44B1"/>
    <w:rsid w:val="00BF2DAA"/>
    <w:rsid w:val="00C51453"/>
    <w:rsid w:val="00CC7686"/>
    <w:rsid w:val="00DA7DED"/>
    <w:rsid w:val="00DB36F9"/>
    <w:rsid w:val="00DC5040"/>
    <w:rsid w:val="00EF49D2"/>
    <w:rsid w:val="00F24943"/>
    <w:rsid w:val="00F5313D"/>
    <w:rsid w:val="00FB1D78"/>
    <w:rsid w:val="00FC4882"/>
    <w:rsid w:val="00FD12F1"/>
    <w:rsid w:val="00FE3821"/>
    <w:rsid w:val="629001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800</Words>
  <Characters>4566</Characters>
  <Lines>38</Lines>
  <Paragraphs>10</Paragraphs>
  <TotalTime>0</TotalTime>
  <ScaleCrop>false</ScaleCrop>
  <LinksUpToDate>false</LinksUpToDate>
  <CharactersWithSpaces>5356</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2017-12-29T00:45:00Z</dcterms:created>
  <dc:creator>Administrator</dc:creator>
  <cp:lastModifiedBy>Administrator</cp:lastModifiedBy>
  <cp:lastPrinted>2017-12-25T08:48:00Z</cp:lastPrinted>
  <dcterms:modified xsi:type="dcterms:W3CDTF">2018-01-02T02:09:01Z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