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黑体" w:hAnsi="黑体" w:eastAsia="黑体"/>
          <w:sz w:val="32"/>
          <w:szCs w:val="32"/>
        </w:rPr>
      </w:pPr>
      <w:bookmarkStart w:id="0" w:name="_GoBack"/>
      <w:bookmarkEnd w:id="0"/>
      <w:r>
        <w:rPr>
          <w:rFonts w:hint="eastAsia" w:ascii="黑体" w:hAnsi="黑体" w:eastAsia="黑体"/>
          <w:sz w:val="32"/>
          <w:szCs w:val="32"/>
        </w:rPr>
        <w:t>附件5</w:t>
      </w:r>
    </w:p>
    <w:p>
      <w:pPr>
        <w:spacing w:before="120" w:beforeLines="50" w:after="120" w:afterLines="50" w:line="600" w:lineRule="exact"/>
        <w:jc w:val="center"/>
        <w:rPr>
          <w:rFonts w:hint="eastAsia" w:ascii="方正小标宋简体" w:eastAsia="方正小标宋简体"/>
          <w:sz w:val="44"/>
          <w:szCs w:val="44"/>
        </w:rPr>
      </w:pPr>
      <w:r>
        <w:rPr>
          <w:rFonts w:hint="eastAsia" w:ascii="方正小标宋简体" w:eastAsia="方正小标宋简体"/>
          <w:sz w:val="44"/>
          <w:szCs w:val="44"/>
        </w:rPr>
        <w:t>教师个人简介</w:t>
      </w:r>
    </w:p>
    <w:p>
      <w:pPr>
        <w:spacing w:before="120" w:beforeLines="50" w:after="120" w:afterLines="50"/>
        <w:rPr>
          <w:rFonts w:ascii="黑体" w:hAnsi="黑体" w:eastAsia="黑体"/>
          <w:sz w:val="28"/>
          <w:szCs w:val="28"/>
        </w:rPr>
      </w:pPr>
      <w:r>
        <w:rPr>
          <w:rFonts w:hint="eastAsia" w:ascii="黑体" w:hAnsi="黑体" w:eastAsia="黑体"/>
          <w:sz w:val="28"/>
          <w:szCs w:val="28"/>
        </w:rPr>
        <w:t>一、基本信息</w:t>
      </w:r>
    </w:p>
    <w:tbl>
      <w:tblPr>
        <w:tblStyle w:val="5"/>
        <w:tblW w:w="8948"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61"/>
        <w:gridCol w:w="2633"/>
        <w:gridCol w:w="2423"/>
        <w:gridCol w:w="21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7" w:hRule="atLeast"/>
          <w:jc w:val="center"/>
        </w:trPr>
        <w:tc>
          <w:tcPr>
            <w:tcW w:w="1761" w:type="dxa"/>
            <w:vAlign w:val="top"/>
          </w:tcPr>
          <w:p>
            <w:pPr>
              <w:jc w:val="center"/>
              <w:rPr>
                <w:rFonts w:hint="eastAsia" w:ascii="仿宋_GB2312" w:eastAsia="仿宋_GB2312"/>
                <w:sz w:val="24"/>
              </w:rPr>
            </w:pPr>
            <w:r>
              <w:rPr>
                <w:rFonts w:hint="eastAsia" w:ascii="仿宋_GB2312" w:eastAsia="仿宋_GB2312"/>
                <w:sz w:val="24"/>
              </w:rPr>
              <w:t>姓名</w:t>
            </w:r>
          </w:p>
        </w:tc>
        <w:tc>
          <w:tcPr>
            <w:tcW w:w="2633" w:type="dxa"/>
            <w:vAlign w:val="top"/>
          </w:tcPr>
          <w:p>
            <w:pPr>
              <w:jc w:val="center"/>
              <w:rPr>
                <w:rFonts w:hint="eastAsia" w:ascii="仿宋_GB2312" w:eastAsia="仿宋_GB2312"/>
                <w:sz w:val="24"/>
                <w:lang w:eastAsia="zh-CN"/>
              </w:rPr>
            </w:pPr>
            <w:r>
              <w:rPr>
                <w:rFonts w:hint="eastAsia" w:ascii="仿宋_GB2312" w:eastAsia="仿宋_GB2312"/>
                <w:sz w:val="24"/>
                <w:lang w:eastAsia="zh-CN"/>
              </w:rPr>
              <w:t>陈泽源</w:t>
            </w:r>
          </w:p>
        </w:tc>
        <w:tc>
          <w:tcPr>
            <w:tcW w:w="2423" w:type="dxa"/>
            <w:vAlign w:val="top"/>
          </w:tcPr>
          <w:p>
            <w:pPr>
              <w:jc w:val="center"/>
              <w:rPr>
                <w:rFonts w:hint="eastAsia" w:ascii="仿宋_GB2312" w:eastAsia="仿宋_GB2312"/>
                <w:sz w:val="24"/>
              </w:rPr>
            </w:pPr>
            <w:r>
              <w:rPr>
                <w:rFonts w:hint="eastAsia" w:ascii="仿宋_GB2312" w:eastAsia="仿宋_GB2312"/>
                <w:sz w:val="24"/>
              </w:rPr>
              <w:t>性别</w:t>
            </w:r>
          </w:p>
        </w:tc>
        <w:tc>
          <w:tcPr>
            <w:tcW w:w="2131" w:type="dxa"/>
            <w:vAlign w:val="top"/>
          </w:tcPr>
          <w:p>
            <w:pPr>
              <w:jc w:val="center"/>
              <w:rPr>
                <w:rFonts w:hint="eastAsia" w:ascii="仿宋_GB2312" w:eastAsia="仿宋_GB2312"/>
                <w:sz w:val="24"/>
                <w:lang w:eastAsia="zh-CN"/>
              </w:rPr>
            </w:pPr>
            <w:r>
              <w:rPr>
                <w:rFonts w:hint="eastAsia" w:ascii="仿宋_GB2312" w:eastAsia="仿宋_GB2312"/>
                <w:sz w:val="24"/>
                <w:lang w:eastAsia="zh-CN"/>
              </w:rPr>
              <w:t>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7" w:hRule="atLeast"/>
          <w:jc w:val="center"/>
        </w:trPr>
        <w:tc>
          <w:tcPr>
            <w:tcW w:w="1761" w:type="dxa"/>
            <w:vAlign w:val="top"/>
          </w:tcPr>
          <w:p>
            <w:pPr>
              <w:jc w:val="center"/>
              <w:rPr>
                <w:rFonts w:hint="eastAsia" w:ascii="仿宋_GB2312" w:eastAsia="仿宋_GB2312"/>
                <w:sz w:val="24"/>
              </w:rPr>
            </w:pPr>
            <w:r>
              <w:rPr>
                <w:rFonts w:hint="eastAsia" w:ascii="仿宋_GB2312" w:eastAsia="仿宋_GB2312"/>
                <w:sz w:val="24"/>
              </w:rPr>
              <w:t>民族</w:t>
            </w:r>
          </w:p>
        </w:tc>
        <w:tc>
          <w:tcPr>
            <w:tcW w:w="2633" w:type="dxa"/>
            <w:vAlign w:val="top"/>
          </w:tcPr>
          <w:p>
            <w:pPr>
              <w:jc w:val="center"/>
              <w:rPr>
                <w:rFonts w:hint="eastAsia" w:ascii="仿宋_GB2312" w:eastAsia="仿宋_GB2312"/>
                <w:sz w:val="24"/>
                <w:lang w:eastAsia="zh-CN"/>
              </w:rPr>
            </w:pPr>
            <w:r>
              <w:rPr>
                <w:rFonts w:hint="eastAsia" w:ascii="仿宋_GB2312" w:eastAsia="仿宋_GB2312"/>
                <w:sz w:val="24"/>
                <w:lang w:eastAsia="zh-CN"/>
              </w:rPr>
              <w:t>汉</w:t>
            </w:r>
          </w:p>
        </w:tc>
        <w:tc>
          <w:tcPr>
            <w:tcW w:w="2423" w:type="dxa"/>
            <w:vAlign w:val="top"/>
          </w:tcPr>
          <w:p>
            <w:pPr>
              <w:jc w:val="center"/>
              <w:rPr>
                <w:rFonts w:hint="eastAsia" w:ascii="仿宋_GB2312" w:eastAsia="仿宋_GB2312"/>
                <w:sz w:val="24"/>
              </w:rPr>
            </w:pPr>
            <w:r>
              <w:rPr>
                <w:rFonts w:hint="eastAsia" w:ascii="仿宋_GB2312" w:eastAsia="仿宋_GB2312"/>
                <w:sz w:val="24"/>
              </w:rPr>
              <w:t>籍贯</w:t>
            </w:r>
          </w:p>
        </w:tc>
        <w:tc>
          <w:tcPr>
            <w:tcW w:w="2131" w:type="dxa"/>
            <w:vAlign w:val="top"/>
          </w:tcPr>
          <w:p>
            <w:pPr>
              <w:jc w:val="center"/>
              <w:rPr>
                <w:rFonts w:hint="eastAsia" w:ascii="仿宋_GB2312" w:eastAsia="仿宋_GB2312"/>
                <w:sz w:val="24"/>
                <w:lang w:eastAsia="zh-CN"/>
              </w:rPr>
            </w:pPr>
            <w:r>
              <w:rPr>
                <w:rFonts w:hint="eastAsia" w:ascii="仿宋_GB2312" w:eastAsia="仿宋_GB2312"/>
                <w:sz w:val="24"/>
                <w:lang w:eastAsia="zh-CN"/>
              </w:rPr>
              <w:t>江西</w:t>
            </w:r>
            <w:r>
              <w:rPr>
                <w:rFonts w:hint="eastAsia" w:ascii="仿宋_GB2312" w:eastAsia="仿宋_GB2312"/>
                <w:sz w:val="24"/>
                <w:lang w:val="en-US" w:eastAsia="zh-CN"/>
              </w:rPr>
              <w:t>·瑞金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7" w:hRule="atLeast"/>
          <w:jc w:val="center"/>
        </w:trPr>
        <w:tc>
          <w:tcPr>
            <w:tcW w:w="1761" w:type="dxa"/>
            <w:vAlign w:val="top"/>
          </w:tcPr>
          <w:p>
            <w:pPr>
              <w:jc w:val="center"/>
              <w:rPr>
                <w:rFonts w:hint="eastAsia" w:ascii="仿宋_GB2312" w:eastAsia="仿宋_GB2312"/>
                <w:sz w:val="24"/>
              </w:rPr>
            </w:pPr>
            <w:r>
              <w:rPr>
                <w:rFonts w:hint="eastAsia" w:ascii="仿宋_GB2312" w:eastAsia="仿宋_GB2312"/>
                <w:sz w:val="24"/>
              </w:rPr>
              <w:t>出生日期</w:t>
            </w:r>
          </w:p>
        </w:tc>
        <w:tc>
          <w:tcPr>
            <w:tcW w:w="2633" w:type="dxa"/>
            <w:vAlign w:val="top"/>
          </w:tcPr>
          <w:p>
            <w:pPr>
              <w:jc w:val="center"/>
              <w:rPr>
                <w:rFonts w:hint="eastAsia" w:ascii="仿宋_GB2312" w:eastAsia="仿宋_GB2312"/>
                <w:sz w:val="24"/>
                <w:lang w:val="en-US" w:eastAsia="zh-CN"/>
              </w:rPr>
            </w:pPr>
            <w:r>
              <w:rPr>
                <w:rFonts w:hint="eastAsia" w:ascii="仿宋_GB2312" w:eastAsia="仿宋_GB2312"/>
                <w:sz w:val="24"/>
                <w:lang w:val="en-US" w:eastAsia="zh-CN"/>
              </w:rPr>
              <w:t>1978.09.18</w:t>
            </w:r>
          </w:p>
        </w:tc>
        <w:tc>
          <w:tcPr>
            <w:tcW w:w="2423" w:type="dxa"/>
            <w:vAlign w:val="top"/>
          </w:tcPr>
          <w:p>
            <w:pPr>
              <w:jc w:val="center"/>
              <w:rPr>
                <w:rFonts w:hint="eastAsia" w:ascii="仿宋_GB2312" w:eastAsia="仿宋_GB2312"/>
                <w:sz w:val="24"/>
              </w:rPr>
            </w:pPr>
            <w:r>
              <w:rPr>
                <w:rFonts w:hint="eastAsia" w:ascii="仿宋_GB2312" w:eastAsia="仿宋_GB2312"/>
                <w:sz w:val="24"/>
              </w:rPr>
              <w:t>所属学校</w:t>
            </w:r>
          </w:p>
        </w:tc>
        <w:tc>
          <w:tcPr>
            <w:tcW w:w="2131" w:type="dxa"/>
            <w:vAlign w:val="top"/>
          </w:tcPr>
          <w:p>
            <w:pPr>
              <w:jc w:val="center"/>
              <w:rPr>
                <w:rFonts w:hint="eastAsia" w:ascii="仿宋_GB2312" w:eastAsia="仿宋_GB2312"/>
                <w:sz w:val="24"/>
                <w:lang w:eastAsia="zh-CN"/>
              </w:rPr>
            </w:pPr>
            <w:r>
              <w:rPr>
                <w:rFonts w:hint="eastAsia" w:ascii="仿宋_GB2312" w:eastAsia="仿宋_GB2312"/>
                <w:sz w:val="24"/>
                <w:lang w:eastAsia="zh-CN"/>
              </w:rPr>
              <w:t>江西农业大学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7" w:hRule="atLeast"/>
          <w:jc w:val="center"/>
        </w:trPr>
        <w:tc>
          <w:tcPr>
            <w:tcW w:w="1761" w:type="dxa"/>
            <w:vAlign w:val="top"/>
          </w:tcPr>
          <w:p>
            <w:pPr>
              <w:jc w:val="center"/>
              <w:rPr>
                <w:rFonts w:hint="eastAsia" w:ascii="仿宋_GB2312" w:eastAsia="仿宋_GB2312"/>
                <w:sz w:val="24"/>
              </w:rPr>
            </w:pPr>
            <w:r>
              <w:rPr>
                <w:rFonts w:hint="eastAsia" w:ascii="仿宋_GB2312" w:eastAsia="仿宋_GB2312"/>
                <w:sz w:val="24"/>
              </w:rPr>
              <w:t>政治面貌</w:t>
            </w:r>
          </w:p>
        </w:tc>
        <w:tc>
          <w:tcPr>
            <w:tcW w:w="2633" w:type="dxa"/>
            <w:vAlign w:val="top"/>
          </w:tcPr>
          <w:p>
            <w:pPr>
              <w:jc w:val="center"/>
              <w:rPr>
                <w:rFonts w:hint="eastAsia" w:ascii="仿宋_GB2312" w:eastAsia="仿宋_GB2312"/>
                <w:sz w:val="24"/>
                <w:lang w:eastAsia="zh-CN"/>
              </w:rPr>
            </w:pPr>
            <w:r>
              <w:rPr>
                <w:rFonts w:hint="eastAsia" w:ascii="仿宋_GB2312" w:eastAsia="仿宋_GB2312"/>
                <w:sz w:val="24"/>
                <w:lang w:eastAsia="zh-CN"/>
              </w:rPr>
              <w:t>中共党员</w:t>
            </w:r>
          </w:p>
        </w:tc>
        <w:tc>
          <w:tcPr>
            <w:tcW w:w="2423" w:type="dxa"/>
            <w:vAlign w:val="top"/>
          </w:tcPr>
          <w:p>
            <w:pPr>
              <w:jc w:val="center"/>
              <w:rPr>
                <w:rFonts w:hint="eastAsia" w:ascii="仿宋_GB2312" w:eastAsia="仿宋_GB2312"/>
                <w:sz w:val="24"/>
              </w:rPr>
            </w:pPr>
            <w:r>
              <w:rPr>
                <w:rFonts w:hint="eastAsia" w:ascii="仿宋_GB2312" w:eastAsia="仿宋_GB2312"/>
                <w:sz w:val="24"/>
              </w:rPr>
              <w:t>职称</w:t>
            </w:r>
          </w:p>
        </w:tc>
        <w:tc>
          <w:tcPr>
            <w:tcW w:w="2131" w:type="dxa"/>
            <w:vAlign w:val="top"/>
          </w:tcPr>
          <w:p>
            <w:pPr>
              <w:jc w:val="center"/>
              <w:rPr>
                <w:rFonts w:hint="eastAsia" w:ascii="仿宋_GB2312" w:eastAsia="仿宋_GB2312"/>
                <w:sz w:val="24"/>
                <w:lang w:eastAsia="zh-CN"/>
              </w:rPr>
            </w:pPr>
            <w:r>
              <w:rPr>
                <w:rFonts w:hint="eastAsia" w:ascii="仿宋_GB2312" w:eastAsia="仿宋_GB2312"/>
                <w:sz w:val="24"/>
                <w:lang w:eastAsia="zh-CN"/>
              </w:rPr>
              <w:t>副教授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7" w:hRule="atLeast"/>
          <w:jc w:val="center"/>
        </w:trPr>
        <w:tc>
          <w:tcPr>
            <w:tcW w:w="1761" w:type="dxa"/>
            <w:vAlign w:val="top"/>
          </w:tcPr>
          <w:p>
            <w:pPr>
              <w:jc w:val="center"/>
              <w:rPr>
                <w:rFonts w:hint="eastAsia" w:ascii="仿宋_GB2312" w:eastAsia="仿宋_GB2312"/>
                <w:sz w:val="24"/>
              </w:rPr>
            </w:pPr>
            <w:r>
              <w:rPr>
                <w:rFonts w:hint="eastAsia" w:ascii="仿宋_GB2312" w:eastAsia="仿宋_GB2312"/>
                <w:sz w:val="24"/>
              </w:rPr>
              <w:t>最高学历</w:t>
            </w:r>
          </w:p>
        </w:tc>
        <w:tc>
          <w:tcPr>
            <w:tcW w:w="2633" w:type="dxa"/>
            <w:vAlign w:val="top"/>
          </w:tcPr>
          <w:p>
            <w:pPr>
              <w:jc w:val="center"/>
              <w:rPr>
                <w:rFonts w:hint="eastAsia" w:ascii="仿宋_GB2312" w:eastAsia="仿宋_GB2312"/>
                <w:sz w:val="24"/>
                <w:lang w:eastAsia="zh-CN"/>
              </w:rPr>
            </w:pPr>
            <w:r>
              <w:rPr>
                <w:rFonts w:hint="eastAsia" w:ascii="仿宋_GB2312" w:eastAsia="仿宋_GB2312"/>
                <w:sz w:val="24"/>
                <w:lang w:eastAsia="zh-CN"/>
              </w:rPr>
              <w:t>研究生</w:t>
            </w:r>
          </w:p>
        </w:tc>
        <w:tc>
          <w:tcPr>
            <w:tcW w:w="2423" w:type="dxa"/>
            <w:vAlign w:val="top"/>
          </w:tcPr>
          <w:p>
            <w:pPr>
              <w:jc w:val="center"/>
              <w:rPr>
                <w:rFonts w:hint="eastAsia" w:ascii="仿宋_GB2312" w:eastAsia="仿宋_GB2312"/>
                <w:sz w:val="24"/>
              </w:rPr>
            </w:pPr>
            <w:r>
              <w:rPr>
                <w:rFonts w:hint="eastAsia" w:ascii="仿宋_GB2312" w:eastAsia="仿宋_GB2312"/>
                <w:sz w:val="24"/>
              </w:rPr>
              <w:t>最高学位</w:t>
            </w:r>
          </w:p>
        </w:tc>
        <w:tc>
          <w:tcPr>
            <w:tcW w:w="2131" w:type="dxa"/>
            <w:vAlign w:val="top"/>
          </w:tcPr>
          <w:p>
            <w:pPr>
              <w:jc w:val="center"/>
              <w:rPr>
                <w:rFonts w:hint="eastAsia" w:ascii="仿宋_GB2312" w:eastAsia="仿宋_GB2312"/>
                <w:sz w:val="24"/>
                <w:lang w:eastAsia="zh-CN"/>
              </w:rPr>
            </w:pPr>
            <w:r>
              <w:rPr>
                <w:rFonts w:hint="eastAsia" w:ascii="仿宋_GB2312" w:eastAsia="仿宋_GB2312"/>
                <w:sz w:val="24"/>
                <w:lang w:eastAsia="zh-CN"/>
              </w:rPr>
              <w:t>博士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7" w:hRule="atLeast"/>
          <w:jc w:val="center"/>
        </w:trPr>
        <w:tc>
          <w:tcPr>
            <w:tcW w:w="1761" w:type="dxa"/>
            <w:vAlign w:val="top"/>
          </w:tcPr>
          <w:p>
            <w:pPr>
              <w:jc w:val="center"/>
              <w:rPr>
                <w:rFonts w:hint="eastAsia" w:ascii="仿宋_GB2312" w:eastAsia="仿宋_GB2312"/>
                <w:sz w:val="24"/>
              </w:rPr>
            </w:pPr>
            <w:r>
              <w:rPr>
                <w:rFonts w:hint="eastAsia" w:ascii="仿宋_GB2312" w:eastAsia="仿宋_GB2312"/>
                <w:sz w:val="24"/>
              </w:rPr>
              <w:t>毕业院校</w:t>
            </w:r>
          </w:p>
        </w:tc>
        <w:tc>
          <w:tcPr>
            <w:tcW w:w="2633" w:type="dxa"/>
            <w:vAlign w:val="top"/>
          </w:tcPr>
          <w:p>
            <w:pPr>
              <w:jc w:val="center"/>
              <w:rPr>
                <w:rFonts w:hint="eastAsia" w:ascii="仿宋_GB2312" w:eastAsia="仿宋_GB2312"/>
                <w:sz w:val="24"/>
                <w:lang w:eastAsia="zh-CN"/>
              </w:rPr>
            </w:pPr>
            <w:r>
              <w:rPr>
                <w:rFonts w:hint="eastAsia" w:ascii="仿宋_GB2312" w:eastAsia="仿宋_GB2312"/>
                <w:sz w:val="24"/>
                <w:lang w:eastAsia="zh-CN"/>
              </w:rPr>
              <w:t>浙江大学</w:t>
            </w:r>
          </w:p>
        </w:tc>
        <w:tc>
          <w:tcPr>
            <w:tcW w:w="2423" w:type="dxa"/>
            <w:vAlign w:val="top"/>
          </w:tcPr>
          <w:p>
            <w:pPr>
              <w:jc w:val="center"/>
              <w:rPr>
                <w:rFonts w:hint="eastAsia" w:ascii="仿宋_GB2312" w:eastAsia="仿宋_GB2312"/>
                <w:sz w:val="24"/>
              </w:rPr>
            </w:pPr>
            <w:r>
              <w:rPr>
                <w:rFonts w:hint="eastAsia" w:ascii="仿宋_GB2312" w:eastAsia="仿宋_GB2312"/>
                <w:sz w:val="24"/>
              </w:rPr>
              <w:t>行政职务</w:t>
            </w:r>
          </w:p>
        </w:tc>
        <w:tc>
          <w:tcPr>
            <w:tcW w:w="2131" w:type="dxa"/>
            <w:vAlign w:val="top"/>
          </w:tcPr>
          <w:p>
            <w:pPr>
              <w:jc w:val="center"/>
              <w:rPr>
                <w:rFonts w:hint="eastAsia" w:ascii="仿宋_GB2312" w:eastAsia="仿宋_GB2312"/>
                <w:sz w:val="24"/>
              </w:rPr>
            </w:pPr>
          </w:p>
        </w:tc>
      </w:tr>
    </w:tbl>
    <w:p>
      <w:pPr>
        <w:spacing w:before="120" w:beforeLines="50" w:after="120" w:afterLines="50"/>
        <w:rPr>
          <w:rFonts w:ascii="黑体" w:hAnsi="黑体" w:eastAsia="黑体"/>
          <w:sz w:val="28"/>
          <w:szCs w:val="28"/>
        </w:rPr>
      </w:pPr>
      <w:r>
        <w:rPr>
          <w:rFonts w:hint="eastAsia" w:ascii="黑体" w:hAnsi="黑体" w:eastAsia="黑体"/>
          <w:sz w:val="28"/>
          <w:szCs w:val="28"/>
        </w:rPr>
        <w:t>二、教学情况（主要承担的课程、获奖情况等）</w:t>
      </w:r>
    </w:p>
    <w:tbl>
      <w:tblPr>
        <w:tblStyle w:val="5"/>
        <w:tblW w:w="9045"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8" w:hRule="atLeast"/>
          <w:jc w:val="center"/>
        </w:trPr>
        <w:tc>
          <w:tcPr>
            <w:tcW w:w="9045" w:type="dxa"/>
            <w:vAlign w:val="top"/>
          </w:tcPr>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360" w:leftChars="0" w:right="0" w:rightChars="0" w:hanging="360" w:hangingChars="150"/>
              <w:jc w:val="both"/>
              <w:textAlignment w:val="auto"/>
              <w:outlineLvl w:val="9"/>
              <w:rPr>
                <w:rFonts w:hint="eastAsia" w:ascii="楷体_GB2312" w:eastAsia="楷体_GB2312" w:cs="Tahoma"/>
                <w:b w:val="0"/>
                <w:bCs/>
                <w:color w:val="auto"/>
                <w:sz w:val="24"/>
                <w:szCs w:val="24"/>
                <w:lang w:val="en-US" w:eastAsia="zh-CN"/>
              </w:rPr>
            </w:pPr>
            <w:r>
              <w:rPr>
                <w:rFonts w:hint="eastAsia" w:ascii="楷体_GB2312" w:eastAsia="楷体_GB2312" w:cs="Tahoma"/>
                <w:b w:val="0"/>
                <w:bCs/>
                <w:color w:val="auto"/>
                <w:sz w:val="24"/>
                <w:szCs w:val="24"/>
                <w:lang w:val="en-US" w:eastAsia="zh-CN"/>
              </w:rPr>
              <w:t>主要承担《英语听力（1-4册）》、《英语语言学概论》、《英美报刊选读》、《西方文化入门》、《大学英语（读写）》等10门本科与《综合英语》1门研究生课程教学，年均300多课时；</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right="0" w:rightChars="0"/>
              <w:jc w:val="both"/>
              <w:textAlignment w:val="auto"/>
              <w:outlineLvl w:val="9"/>
              <w:rPr>
                <w:rFonts w:hint="eastAsia" w:ascii="楷体_GB2312" w:eastAsia="楷体_GB2312" w:cs="Tahoma"/>
                <w:b w:val="0"/>
                <w:bCs/>
                <w:color w:val="auto"/>
                <w:sz w:val="24"/>
                <w:szCs w:val="24"/>
                <w:lang w:val="en-US" w:eastAsia="zh-CN"/>
              </w:rPr>
            </w:pPr>
            <w:r>
              <w:rPr>
                <w:rFonts w:hint="eastAsia" w:ascii="楷体_GB2312" w:eastAsia="楷体_GB2312" w:cs="Tahoma"/>
                <w:b w:val="0"/>
                <w:bCs/>
                <w:color w:val="auto"/>
                <w:sz w:val="24"/>
                <w:szCs w:val="24"/>
                <w:lang w:val="en-US" w:eastAsia="zh-CN"/>
              </w:rPr>
              <w:t>2009年，获评校级优秀本科毕业论文指导教师；</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right="0" w:rightChars="0"/>
              <w:jc w:val="both"/>
              <w:textAlignment w:val="auto"/>
              <w:outlineLvl w:val="9"/>
              <w:rPr>
                <w:rFonts w:hint="eastAsia" w:ascii="楷体_GB2312" w:eastAsia="楷体_GB2312" w:cs="Tahoma"/>
                <w:b w:val="0"/>
                <w:bCs/>
                <w:color w:val="auto"/>
                <w:sz w:val="24"/>
                <w:szCs w:val="24"/>
                <w:lang w:val="en-US" w:eastAsia="zh-CN"/>
              </w:rPr>
            </w:pPr>
            <w:r>
              <w:rPr>
                <w:rFonts w:hint="eastAsia" w:ascii="楷体_GB2312" w:eastAsia="楷体_GB2312" w:cs="Tahoma"/>
                <w:b w:val="0"/>
                <w:bCs/>
                <w:color w:val="auto"/>
                <w:sz w:val="24"/>
                <w:szCs w:val="24"/>
                <w:lang w:val="en-US" w:eastAsia="zh-CN"/>
              </w:rPr>
              <w:t>2010年以来，参编大学英语和研究生英语教材3部。</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right="0" w:rightChars="0"/>
              <w:jc w:val="both"/>
              <w:textAlignment w:val="auto"/>
              <w:outlineLvl w:val="9"/>
              <w:rPr>
                <w:rFonts w:hint="eastAsia" w:ascii="楷体_GB2312" w:eastAsia="楷体_GB2312" w:cs="Tahoma"/>
                <w:b w:val="0"/>
                <w:bCs/>
                <w:color w:val="auto"/>
                <w:sz w:val="24"/>
                <w:szCs w:val="24"/>
                <w:lang w:val="en-US" w:eastAsia="zh-CN"/>
              </w:rPr>
            </w:pPr>
            <w:r>
              <w:rPr>
                <w:rFonts w:hint="eastAsia" w:ascii="楷体_GB2312" w:eastAsia="楷体_GB2312" w:cs="Tahoma"/>
                <w:b w:val="0"/>
                <w:bCs/>
                <w:color w:val="auto"/>
                <w:sz w:val="24"/>
                <w:szCs w:val="24"/>
                <w:lang w:val="en-US" w:eastAsia="zh-CN"/>
              </w:rPr>
              <w:t>2015年本科教学评估等级为优秀；</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360" w:leftChars="0" w:right="0" w:rightChars="0" w:hanging="360" w:hangingChars="150"/>
              <w:jc w:val="both"/>
              <w:textAlignment w:val="auto"/>
              <w:outlineLvl w:val="9"/>
              <w:rPr>
                <w:sz w:val="24"/>
              </w:rPr>
            </w:pPr>
            <w:r>
              <w:rPr>
                <w:rFonts w:hint="eastAsia" w:ascii="楷体_GB2312" w:eastAsia="楷体_GB2312" w:cs="Tahoma"/>
                <w:b w:val="0"/>
                <w:bCs/>
                <w:color w:val="auto"/>
                <w:sz w:val="24"/>
                <w:szCs w:val="24"/>
                <w:lang w:val="en-US" w:eastAsia="zh-CN"/>
              </w:rPr>
              <w:t>2017年，在江西省“赣江杯”大学生英语口语竞赛中，所指导的学生分别获得B类一等奖和C类特等奖；2017年，在“外研社杯”全国英语演讲•写作•阅读大赛（江西赛区复赛）中，所指导的学生分别获得阅读二等奖和写作三等奖。</w:t>
            </w:r>
          </w:p>
        </w:tc>
      </w:tr>
    </w:tbl>
    <w:p>
      <w:pPr>
        <w:spacing w:before="120" w:beforeLines="50" w:after="120" w:afterLines="50"/>
        <w:rPr>
          <w:rFonts w:ascii="黑体" w:hAnsi="黑体" w:eastAsia="黑体"/>
          <w:sz w:val="28"/>
          <w:szCs w:val="28"/>
        </w:rPr>
      </w:pPr>
      <w:r>
        <w:rPr>
          <w:rFonts w:hint="eastAsia" w:ascii="黑体" w:hAnsi="黑体" w:eastAsia="黑体"/>
          <w:sz w:val="28"/>
          <w:szCs w:val="28"/>
        </w:rPr>
        <w:t>三、教改科研情况（承担的教改及科研项目、获奖情况）</w:t>
      </w:r>
    </w:p>
    <w:tbl>
      <w:tblPr>
        <w:tblStyle w:val="5"/>
        <w:tblW w:w="900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902" w:hRule="atLeast"/>
          <w:jc w:val="center"/>
        </w:trPr>
        <w:tc>
          <w:tcPr>
            <w:tcW w:w="9002" w:type="dxa"/>
            <w:vAlign w:val="top"/>
          </w:tcPr>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360" w:leftChars="0" w:right="0" w:rightChars="0" w:hanging="360" w:hangingChars="150"/>
              <w:jc w:val="both"/>
              <w:textAlignment w:val="auto"/>
              <w:outlineLvl w:val="9"/>
              <w:rPr>
                <w:rFonts w:hint="eastAsia" w:ascii="楷体_GB2312" w:eastAsia="楷体_GB2312" w:cs="Tahoma"/>
                <w:b w:val="0"/>
                <w:bCs/>
                <w:color w:val="auto"/>
                <w:sz w:val="24"/>
                <w:szCs w:val="24"/>
                <w:lang w:val="en-US" w:eastAsia="zh-CN"/>
              </w:rPr>
            </w:pPr>
            <w:r>
              <w:rPr>
                <w:rFonts w:hint="eastAsia" w:ascii="楷体_GB2312" w:eastAsia="楷体_GB2312" w:cs="Tahoma"/>
                <w:b w:val="0"/>
                <w:bCs/>
                <w:color w:val="auto"/>
                <w:sz w:val="24"/>
                <w:szCs w:val="24"/>
                <w:lang w:val="en-US" w:eastAsia="zh-CN"/>
              </w:rPr>
              <w:t>主持完成江西省社科规划、校级青年基金及校级教改项目各1项；</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360" w:leftChars="0" w:right="0" w:rightChars="0" w:hanging="360" w:hangingChars="150"/>
              <w:jc w:val="both"/>
              <w:textAlignment w:val="auto"/>
              <w:outlineLvl w:val="9"/>
              <w:rPr>
                <w:rFonts w:hint="eastAsia" w:ascii="楷体_GB2312" w:eastAsia="楷体_GB2312" w:cs="Tahoma"/>
                <w:b w:val="0"/>
                <w:bCs/>
                <w:color w:val="auto"/>
                <w:sz w:val="24"/>
                <w:szCs w:val="24"/>
                <w:lang w:val="en-US" w:eastAsia="zh-CN"/>
              </w:rPr>
            </w:pPr>
            <w:r>
              <w:rPr>
                <w:rFonts w:hint="eastAsia" w:ascii="楷体_GB2312" w:eastAsia="楷体_GB2312" w:cs="Tahoma"/>
                <w:b w:val="0"/>
                <w:bCs/>
                <w:color w:val="auto"/>
                <w:sz w:val="24"/>
                <w:szCs w:val="24"/>
                <w:lang w:val="en-US" w:eastAsia="zh-CN"/>
              </w:rPr>
              <w:t>参与完成江西省社科规划项目2项；</w:t>
            </w:r>
          </w:p>
          <w:p>
            <w:pPr>
              <w:numPr>
                <w:ilvl w:val="0"/>
                <w:numId w:val="3"/>
              </w:numPr>
              <w:rPr>
                <w:sz w:val="24"/>
              </w:rPr>
            </w:pPr>
            <w:r>
              <w:rPr>
                <w:rFonts w:hint="eastAsia" w:ascii="楷体_GB2312" w:eastAsia="楷体_GB2312" w:cs="Tahoma"/>
                <w:b w:val="0"/>
                <w:bCs/>
                <w:color w:val="auto"/>
                <w:sz w:val="24"/>
                <w:szCs w:val="24"/>
                <w:lang w:val="en-US" w:eastAsia="zh-CN"/>
              </w:rPr>
              <w:t>主持江西省学位与研究生教育教学改革研究项目和江西省社会科学规划青年博士基金项目各1项（2017年立项）</w:t>
            </w:r>
          </w:p>
        </w:tc>
      </w:tr>
    </w:tbl>
    <w:p>
      <w:r>
        <w:rPr>
          <w:rFonts w:hint="eastAsia" w:ascii="仿宋_GB2312" w:eastAsia="仿宋_GB2312"/>
          <w:color w:val="000000"/>
          <w:sz w:val="24"/>
        </w:rPr>
        <w:t>注意：填写完成后将文档名称修改为“学校名称_教师姓名”，例如“华东交通大学_张三”。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836A3"/>
    <w:multiLevelType w:val="singleLevel"/>
    <w:tmpl w:val="59A836A3"/>
    <w:lvl w:ilvl="0" w:tentative="0">
      <w:start w:val="1"/>
      <w:numFmt w:val="decimal"/>
      <w:suff w:val="nothing"/>
      <w:lvlText w:val="%1、"/>
      <w:lvlJc w:val="left"/>
    </w:lvl>
  </w:abstractNum>
  <w:abstractNum w:abstractNumId="1">
    <w:nsid w:val="59A902E6"/>
    <w:multiLevelType w:val="singleLevel"/>
    <w:tmpl w:val="59A902E6"/>
    <w:lvl w:ilvl="0" w:tentative="0">
      <w:start w:val="1"/>
      <w:numFmt w:val="decimal"/>
      <w:suff w:val="nothing"/>
      <w:lvlText w:val="%1、"/>
      <w:lvlJc w:val="left"/>
    </w:lvl>
  </w:abstractNum>
  <w:abstractNum w:abstractNumId="2">
    <w:nsid w:val="5A43AE07"/>
    <w:multiLevelType w:val="singleLevel"/>
    <w:tmpl w:val="5A43AE07"/>
    <w:lvl w:ilvl="0" w:tentative="0">
      <w:start w:val="3"/>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D86BE0"/>
    <w:rsid w:val="028F3354"/>
    <w:rsid w:val="03245BA8"/>
    <w:rsid w:val="19D07606"/>
    <w:rsid w:val="258B604D"/>
    <w:rsid w:val="261829A3"/>
    <w:rsid w:val="3B543F32"/>
    <w:rsid w:val="47F674BE"/>
    <w:rsid w:val="51D86BE0"/>
    <w:rsid w:val="55A35023"/>
    <w:rsid w:val="587B4D75"/>
    <w:rsid w:val="5E94146F"/>
    <w:rsid w:val="5F1020B5"/>
    <w:rsid w:val="628623B8"/>
    <w:rsid w:val="62CD033B"/>
    <w:rsid w:val="6BC06400"/>
    <w:rsid w:val="721C42E0"/>
    <w:rsid w:val="76096AAD"/>
    <w:rsid w:val="780D1740"/>
    <w:rsid w:val="7A136BE3"/>
    <w:rsid w:val="7C9A1089"/>
    <w:rsid w:val="7CD2123C"/>
    <w:rsid w:val="7D38190F"/>
    <w:rsid w:val="7F3C6A2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6">
    <w:name w:val="List Paragraph"/>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2017-12-26T05:06:00Z</dcterms:created>
  <dc:creator>若如初</dc:creator>
  <cp:lastModifiedBy>安静的小爬</cp:lastModifiedBy>
  <dcterms:modified xsi:type="dcterms:W3CDTF">2017-12-28T05:43:25Z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